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D0F6A" w14:textId="77777777" w:rsidR="00F50D3A" w:rsidRDefault="00395364">
      <w:pPr>
        <w:tabs>
          <w:tab w:val="right" w:pos="9751"/>
        </w:tabs>
        <w:spacing w:after="819" w:line="259" w:lineRule="auto"/>
        <w:ind w:left="0" w:right="-739" w:firstLine="0"/>
      </w:pPr>
      <w:r>
        <w:rPr>
          <w:sz w:val="21"/>
        </w:rPr>
        <w:t xml:space="preserve"> </w:t>
      </w:r>
      <w:r>
        <w:rPr>
          <w:sz w:val="21"/>
        </w:rPr>
        <w:tab/>
      </w:r>
      <w:r>
        <w:rPr>
          <w:noProof/>
        </w:rPr>
        <w:drawing>
          <wp:inline distT="0" distB="0" distL="0" distR="0" wp14:anchorId="24C745A3" wp14:editId="0BC73331">
            <wp:extent cx="1076960" cy="4781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stretch>
                      <a:fillRect/>
                    </a:stretch>
                  </pic:blipFill>
                  <pic:spPr>
                    <a:xfrm>
                      <a:off x="0" y="0"/>
                      <a:ext cx="1076960" cy="478155"/>
                    </a:xfrm>
                    <a:prstGeom prst="rect">
                      <a:avLst/>
                    </a:prstGeom>
                  </pic:spPr>
                </pic:pic>
              </a:graphicData>
            </a:graphic>
          </wp:inline>
        </w:drawing>
      </w:r>
    </w:p>
    <w:p w14:paraId="4B05181E" w14:textId="77777777" w:rsidR="00F50D3A" w:rsidRDefault="00395364">
      <w:pPr>
        <w:spacing w:after="0" w:line="259" w:lineRule="auto"/>
        <w:ind w:left="0" w:firstLine="0"/>
      </w:pPr>
      <w:r>
        <w:rPr>
          <w:color w:val="4DBEEC"/>
          <w:sz w:val="96"/>
        </w:rPr>
        <w:t xml:space="preserve"> </w:t>
      </w:r>
    </w:p>
    <w:p w14:paraId="1D7B2319" w14:textId="77777777" w:rsidR="00F50D3A" w:rsidRDefault="00395364">
      <w:pPr>
        <w:spacing w:after="0" w:line="259" w:lineRule="auto"/>
        <w:ind w:left="0" w:firstLine="0"/>
      </w:pPr>
      <w:r>
        <w:rPr>
          <w:color w:val="4DBEEC"/>
          <w:sz w:val="96"/>
        </w:rPr>
        <w:t xml:space="preserve"> </w:t>
      </w:r>
    </w:p>
    <w:p w14:paraId="17FE34A6" w14:textId="77777777" w:rsidR="00F50D3A" w:rsidRDefault="00395364">
      <w:pPr>
        <w:spacing w:after="0" w:line="259" w:lineRule="auto"/>
        <w:ind w:left="0" w:firstLine="0"/>
      </w:pPr>
      <w:r>
        <w:rPr>
          <w:color w:val="4DBEEC"/>
          <w:sz w:val="96"/>
        </w:rPr>
        <w:t xml:space="preserve"> </w:t>
      </w:r>
    </w:p>
    <w:p w14:paraId="0E36917C" w14:textId="77777777" w:rsidR="00F50D3A" w:rsidRDefault="00395364">
      <w:pPr>
        <w:spacing w:after="221" w:line="259" w:lineRule="auto"/>
        <w:ind w:left="0" w:firstLine="0"/>
      </w:pPr>
      <w:r>
        <w:rPr>
          <w:sz w:val="21"/>
        </w:rPr>
        <w:t xml:space="preserve"> </w:t>
      </w:r>
    </w:p>
    <w:p w14:paraId="5E77F8F8" w14:textId="77777777" w:rsidR="00F50D3A" w:rsidRDefault="00395364">
      <w:pPr>
        <w:spacing w:after="221" w:line="259" w:lineRule="auto"/>
        <w:ind w:left="0" w:firstLine="0"/>
      </w:pPr>
      <w:r>
        <w:rPr>
          <w:sz w:val="21"/>
        </w:rPr>
        <w:t xml:space="preserve"> </w:t>
      </w:r>
    </w:p>
    <w:p w14:paraId="3B972167" w14:textId="77777777" w:rsidR="00F50D3A" w:rsidRDefault="00395364">
      <w:pPr>
        <w:spacing w:after="933" w:line="259" w:lineRule="auto"/>
        <w:ind w:left="0" w:firstLine="0"/>
      </w:pPr>
      <w:r>
        <w:rPr>
          <w:sz w:val="21"/>
        </w:rPr>
        <w:t xml:space="preserve"> </w:t>
      </w:r>
    </w:p>
    <w:p w14:paraId="2FE9480E" w14:textId="77777777" w:rsidR="00F50D3A" w:rsidRDefault="00395364">
      <w:pPr>
        <w:spacing w:after="0" w:line="259" w:lineRule="auto"/>
        <w:ind w:left="-5"/>
      </w:pPr>
      <w:r>
        <w:rPr>
          <w:color w:val="4DBEEC"/>
          <w:sz w:val="96"/>
        </w:rPr>
        <w:t xml:space="preserve">M50 Toll Domain </w:t>
      </w:r>
    </w:p>
    <w:p w14:paraId="237E208C" w14:textId="77777777" w:rsidR="00F50D3A" w:rsidRDefault="00395364">
      <w:pPr>
        <w:spacing w:after="0" w:line="259" w:lineRule="auto"/>
        <w:ind w:left="-5"/>
      </w:pPr>
      <w:r>
        <w:rPr>
          <w:noProof/>
        </w:rPr>
        <w:drawing>
          <wp:anchor distT="0" distB="0" distL="114300" distR="114300" simplePos="0" relativeHeight="251658240" behindDoc="0" locked="0" layoutInCell="1" allowOverlap="0" wp14:anchorId="7403A262" wp14:editId="4A7983A9">
            <wp:simplePos x="0" y="0"/>
            <wp:positionH relativeFrom="page">
              <wp:posOffset>0</wp:posOffset>
            </wp:positionH>
            <wp:positionV relativeFrom="page">
              <wp:posOffset>9262380</wp:posOffset>
            </wp:positionV>
            <wp:extent cx="1716024" cy="1258824"/>
            <wp:effectExtent l="0" t="0" r="0" b="0"/>
            <wp:wrapTopAndBottom/>
            <wp:docPr id="26832" name="Picture 26832"/>
            <wp:cNvGraphicFramePr/>
            <a:graphic xmlns:a="http://schemas.openxmlformats.org/drawingml/2006/main">
              <a:graphicData uri="http://schemas.openxmlformats.org/drawingml/2006/picture">
                <pic:pic xmlns:pic="http://schemas.openxmlformats.org/drawingml/2006/picture">
                  <pic:nvPicPr>
                    <pic:cNvPr id="26832" name="Picture 26832"/>
                    <pic:cNvPicPr/>
                  </pic:nvPicPr>
                  <pic:blipFill>
                    <a:blip r:embed="rId8"/>
                    <a:stretch>
                      <a:fillRect/>
                    </a:stretch>
                  </pic:blipFill>
                  <pic:spPr>
                    <a:xfrm>
                      <a:off x="0" y="0"/>
                      <a:ext cx="1716024" cy="1258824"/>
                    </a:xfrm>
                    <a:prstGeom prst="rect">
                      <a:avLst/>
                    </a:prstGeom>
                  </pic:spPr>
                </pic:pic>
              </a:graphicData>
            </a:graphic>
          </wp:anchor>
        </w:drawing>
      </w:r>
      <w:r>
        <w:rPr>
          <w:color w:val="4DBEEC"/>
          <w:sz w:val="96"/>
        </w:rPr>
        <w:t xml:space="preserve">Statement </w:t>
      </w:r>
    </w:p>
    <w:p w14:paraId="38B35E12" w14:textId="77777777" w:rsidR="00F50D3A" w:rsidRDefault="00395364">
      <w:pPr>
        <w:spacing w:after="0" w:line="259" w:lineRule="auto"/>
        <w:ind w:left="0" w:firstLine="0"/>
      </w:pPr>
      <w:r>
        <w:rPr>
          <w:color w:val="4DBEEC"/>
          <w:sz w:val="96"/>
        </w:rPr>
        <w:t xml:space="preserve"> </w:t>
      </w:r>
    </w:p>
    <w:p w14:paraId="542CAFC1" w14:textId="77777777" w:rsidR="00F50D3A" w:rsidRDefault="00395364">
      <w:pPr>
        <w:spacing w:after="221" w:line="259" w:lineRule="auto"/>
        <w:ind w:left="0" w:firstLine="0"/>
      </w:pPr>
      <w:r>
        <w:rPr>
          <w:sz w:val="21"/>
        </w:rPr>
        <w:t xml:space="preserve"> </w:t>
      </w:r>
    </w:p>
    <w:p w14:paraId="515F6970" w14:textId="77777777" w:rsidR="00F50D3A" w:rsidRDefault="00395364">
      <w:pPr>
        <w:spacing w:after="221" w:line="259" w:lineRule="auto"/>
        <w:ind w:left="0" w:firstLine="0"/>
      </w:pPr>
      <w:r>
        <w:rPr>
          <w:sz w:val="21"/>
        </w:rPr>
        <w:t xml:space="preserve"> </w:t>
      </w:r>
    </w:p>
    <w:p w14:paraId="545CBDDC" w14:textId="77777777" w:rsidR="00F50D3A" w:rsidRDefault="00395364">
      <w:pPr>
        <w:spacing w:after="218" w:line="259" w:lineRule="auto"/>
        <w:ind w:left="0" w:firstLine="0"/>
      </w:pPr>
      <w:r>
        <w:rPr>
          <w:sz w:val="21"/>
        </w:rPr>
        <w:t xml:space="preserve"> </w:t>
      </w:r>
    </w:p>
    <w:p w14:paraId="04EC8867" w14:textId="77777777" w:rsidR="00F50D3A" w:rsidRDefault="00395364">
      <w:pPr>
        <w:spacing w:after="221" w:line="259" w:lineRule="auto"/>
        <w:ind w:left="0" w:firstLine="0"/>
      </w:pPr>
      <w:r>
        <w:rPr>
          <w:sz w:val="21"/>
        </w:rPr>
        <w:t xml:space="preserve"> </w:t>
      </w:r>
    </w:p>
    <w:p w14:paraId="013984FB" w14:textId="77777777" w:rsidR="00F50D3A" w:rsidRDefault="00395364">
      <w:pPr>
        <w:spacing w:after="221" w:line="259" w:lineRule="auto"/>
        <w:ind w:left="0" w:firstLine="0"/>
      </w:pPr>
      <w:r>
        <w:rPr>
          <w:sz w:val="21"/>
        </w:rPr>
        <w:t xml:space="preserve"> </w:t>
      </w:r>
    </w:p>
    <w:p w14:paraId="16AF2F15" w14:textId="77777777" w:rsidR="00F50D3A" w:rsidRDefault="00395364">
      <w:pPr>
        <w:spacing w:after="221" w:line="259" w:lineRule="auto"/>
        <w:ind w:left="0" w:firstLine="0"/>
      </w:pPr>
      <w:r>
        <w:rPr>
          <w:sz w:val="21"/>
        </w:rPr>
        <w:t xml:space="preserve"> </w:t>
      </w:r>
    </w:p>
    <w:p w14:paraId="59ADFE50" w14:textId="77777777" w:rsidR="00F50D3A" w:rsidRDefault="00395364">
      <w:pPr>
        <w:spacing w:after="218" w:line="259" w:lineRule="auto"/>
        <w:ind w:left="0" w:firstLine="0"/>
      </w:pPr>
      <w:r>
        <w:rPr>
          <w:sz w:val="21"/>
        </w:rPr>
        <w:t xml:space="preserve"> </w:t>
      </w:r>
    </w:p>
    <w:p w14:paraId="0302258F" w14:textId="77777777" w:rsidR="00F50D3A" w:rsidRDefault="00395364">
      <w:pPr>
        <w:spacing w:after="221" w:line="259" w:lineRule="auto"/>
        <w:ind w:left="0" w:firstLine="0"/>
      </w:pPr>
      <w:r>
        <w:rPr>
          <w:sz w:val="21"/>
        </w:rPr>
        <w:t xml:space="preserve"> </w:t>
      </w:r>
    </w:p>
    <w:p w14:paraId="04679CB2" w14:textId="77777777" w:rsidR="00F50D3A" w:rsidRDefault="00395364">
      <w:pPr>
        <w:spacing w:after="221" w:line="259" w:lineRule="auto"/>
        <w:ind w:left="0" w:firstLine="0"/>
      </w:pPr>
      <w:r>
        <w:rPr>
          <w:sz w:val="21"/>
        </w:rPr>
        <w:t xml:space="preserve"> </w:t>
      </w:r>
    </w:p>
    <w:p w14:paraId="15F2FF8F" w14:textId="77777777" w:rsidR="00F50D3A" w:rsidRDefault="00395364">
      <w:pPr>
        <w:spacing w:after="297" w:line="259" w:lineRule="auto"/>
        <w:ind w:left="0" w:firstLine="0"/>
      </w:pPr>
      <w:r>
        <w:rPr>
          <w:sz w:val="21"/>
        </w:rPr>
        <w:t xml:space="preserve"> </w:t>
      </w:r>
    </w:p>
    <w:p w14:paraId="2642BF79" w14:textId="77777777" w:rsidR="00F50D3A" w:rsidRDefault="00395364">
      <w:pPr>
        <w:spacing w:after="585" w:line="259" w:lineRule="auto"/>
        <w:ind w:left="1620" w:firstLine="0"/>
      </w:pPr>
      <w:r>
        <w:rPr>
          <w:b/>
          <w:color w:val="2FB4E9"/>
          <w:sz w:val="28"/>
        </w:rPr>
        <w:lastRenderedPageBreak/>
        <w:t xml:space="preserve"> </w:t>
      </w:r>
    </w:p>
    <w:p w14:paraId="69B847D4" w14:textId="77777777" w:rsidR="00F50D3A" w:rsidRDefault="00395364">
      <w:pPr>
        <w:spacing w:after="0" w:line="259" w:lineRule="auto"/>
        <w:ind w:left="1620" w:firstLine="0"/>
      </w:pPr>
      <w:r>
        <w:rPr>
          <w:sz w:val="21"/>
        </w:rPr>
        <w:t xml:space="preserve"> </w:t>
      </w:r>
    </w:p>
    <w:p w14:paraId="5DA8816B" w14:textId="77777777" w:rsidR="00F50D3A" w:rsidRDefault="00395364">
      <w:pPr>
        <w:pStyle w:val="Heading1"/>
        <w:spacing w:after="98"/>
        <w:ind w:left="-5"/>
      </w:pPr>
      <w:r>
        <w:t>1.</w:t>
      </w:r>
      <w:r>
        <w:rPr>
          <w:rFonts w:ascii="Arial" w:eastAsia="Arial" w:hAnsi="Arial" w:cs="Arial"/>
        </w:rPr>
        <w:t xml:space="preserve"> </w:t>
      </w:r>
      <w:r>
        <w:t xml:space="preserve">GENERAL INTRODUCTION </w:t>
      </w:r>
    </w:p>
    <w:p w14:paraId="2479CF86" w14:textId="77777777" w:rsidR="00F50D3A" w:rsidRDefault="00395364">
      <w:pPr>
        <w:pStyle w:val="Heading2"/>
        <w:tabs>
          <w:tab w:val="center" w:pos="1509"/>
        </w:tabs>
        <w:ind w:left="-15" w:firstLine="0"/>
      </w:pPr>
      <w:r>
        <w:t>1.1</w:t>
      </w:r>
      <w:r>
        <w:rPr>
          <w:rFonts w:ascii="Arial" w:eastAsia="Arial" w:hAnsi="Arial" w:cs="Arial"/>
        </w:rPr>
        <w:t xml:space="preserve"> </w:t>
      </w:r>
      <w:r>
        <w:rPr>
          <w:rFonts w:ascii="Arial" w:eastAsia="Arial" w:hAnsi="Arial" w:cs="Arial"/>
        </w:rPr>
        <w:tab/>
      </w:r>
      <w:r>
        <w:t xml:space="preserve">Introduction </w:t>
      </w:r>
    </w:p>
    <w:p w14:paraId="701AFF80" w14:textId="77777777" w:rsidR="00F50D3A" w:rsidRDefault="00395364">
      <w:pPr>
        <w:ind w:left="-5"/>
      </w:pPr>
      <w:r>
        <w:t xml:space="preserve">This document is intended solely for European Electronic Toll Service (EETS) Providers in the context of the EETS Decision of the European Commission 2009/750/EC. The purpose of this Toll Domain Statement is to set out the general conditions for EETS Providers for accessing the M50 toll domain. This Toll Domain Statement does not constitute an offer to enter into an agreement. Transport Infrastructure Ireland (TII) reserves the right to make changes to the requirements listed below at any time. </w:t>
      </w:r>
    </w:p>
    <w:p w14:paraId="56C8B7B3" w14:textId="77777777" w:rsidR="00F50D3A" w:rsidRDefault="00395364">
      <w:pPr>
        <w:spacing w:after="143" w:line="259" w:lineRule="auto"/>
        <w:ind w:left="0" w:firstLine="0"/>
      </w:pPr>
      <w:r>
        <w:rPr>
          <w:color w:val="1A232A"/>
        </w:rPr>
        <w:t xml:space="preserve"> </w:t>
      </w:r>
    </w:p>
    <w:p w14:paraId="6D3C44F0" w14:textId="77777777" w:rsidR="00F50D3A" w:rsidRDefault="00395364">
      <w:pPr>
        <w:pStyle w:val="Heading2"/>
        <w:tabs>
          <w:tab w:val="center" w:pos="3977"/>
        </w:tabs>
        <w:spacing w:after="9"/>
        <w:ind w:left="-15" w:firstLine="0"/>
      </w:pPr>
      <w:r>
        <w:t>1.2</w:t>
      </w:r>
      <w:r>
        <w:rPr>
          <w:rFonts w:ascii="Arial" w:eastAsia="Arial" w:hAnsi="Arial" w:cs="Arial"/>
        </w:rPr>
        <w:t xml:space="preserve"> </w:t>
      </w:r>
      <w:r>
        <w:rPr>
          <w:rFonts w:ascii="Arial" w:eastAsia="Arial" w:hAnsi="Arial" w:cs="Arial"/>
        </w:rPr>
        <w:tab/>
      </w:r>
      <w:r>
        <w:t xml:space="preserve">Interoperable Electronic Tolling Collection in Ireland </w:t>
      </w:r>
    </w:p>
    <w:p w14:paraId="3C2D8F24" w14:textId="77777777" w:rsidR="00F50D3A" w:rsidRDefault="00395364">
      <w:pPr>
        <w:spacing w:after="45" w:line="259" w:lineRule="auto"/>
        <w:ind w:left="0" w:firstLine="0"/>
      </w:pPr>
      <w:r>
        <w:rPr>
          <w:b/>
          <w:color w:val="A62F99"/>
          <w:sz w:val="28"/>
        </w:rPr>
        <w:t xml:space="preserve"> </w:t>
      </w:r>
    </w:p>
    <w:p w14:paraId="3AD93DE8" w14:textId="77777777" w:rsidR="00F50D3A" w:rsidRDefault="00395364">
      <w:pPr>
        <w:ind w:left="-5"/>
      </w:pPr>
      <w:r>
        <w:t xml:space="preserve">In conjunction with delivering a state-of-the art motorway network in Ireland, the National </w:t>
      </w:r>
    </w:p>
    <w:p w14:paraId="3B28C15A" w14:textId="77777777" w:rsidR="00F50D3A" w:rsidRDefault="00395364">
      <w:pPr>
        <w:ind w:left="-5"/>
      </w:pPr>
      <w:r>
        <w:t xml:space="preserve">Roads Authority (NRA), operating under the name TII, has supported Electronic Toll Collection (ETC) on all Irish roads and full national interoperability for all ETC Service Users across that network. This proactive approach has benefitted Irish road users by improving traffic flows, reducing congestion and improving road safety across the national road network. </w:t>
      </w:r>
    </w:p>
    <w:p w14:paraId="258E6BE5" w14:textId="77777777" w:rsidR="00F50D3A" w:rsidRDefault="00395364">
      <w:pPr>
        <w:spacing w:after="0" w:line="259" w:lineRule="auto"/>
        <w:ind w:left="0" w:firstLine="0"/>
      </w:pPr>
      <w:r>
        <w:t xml:space="preserve"> </w:t>
      </w:r>
    </w:p>
    <w:p w14:paraId="63CDEDA1" w14:textId="73CDBD85" w:rsidR="00F50D3A" w:rsidRDefault="00395364">
      <w:pPr>
        <w:ind w:left="-5"/>
      </w:pPr>
      <w:r>
        <w:t xml:space="preserve">There are currently ten toll roads on the national network and one on the local network. Eight of these toll roads have been funded using Public Private Partnership (PPP) and the associated tolling facilities are maintained and operated by the PPP concessionaires. Two of the facilities, M50 and Dublin-Tunnel, are operated under contract on behalf of TII. In addition, the East-Link bridge is operated by Dublin City Council (DCC). All toll facilities incorporate ETC as a means of toll payment. </w:t>
      </w:r>
    </w:p>
    <w:p w14:paraId="6E223797" w14:textId="77777777" w:rsidR="00F50D3A" w:rsidRDefault="00395364">
      <w:pPr>
        <w:spacing w:after="0" w:line="259" w:lineRule="auto"/>
        <w:ind w:left="0" w:firstLine="0"/>
      </w:pPr>
      <w:r>
        <w:t xml:space="preserve"> </w:t>
      </w:r>
    </w:p>
    <w:p w14:paraId="31BB9098" w14:textId="77777777" w:rsidR="00F50D3A" w:rsidRDefault="00395364">
      <w:pPr>
        <w:ind w:left="-5"/>
      </w:pPr>
      <w:r>
        <w:t xml:space="preserve">In addition, TII established, and continues to manage, the provision of Interoperability Management Services (IMS) as an interoperability hub to facilitate national </w:t>
      </w:r>
    </w:p>
    <w:p w14:paraId="03A6F110" w14:textId="77777777" w:rsidR="00F50D3A" w:rsidRDefault="00395364">
      <w:pPr>
        <w:ind w:left="-5"/>
      </w:pPr>
      <w:r>
        <w:t xml:space="preserve">interoperability. This IMS is operated under contract on behalf of TII by the Interoperability Management Service Provider (IMSP). </w:t>
      </w:r>
    </w:p>
    <w:p w14:paraId="367A9E1F" w14:textId="77777777" w:rsidR="00F50D3A" w:rsidRDefault="00395364">
      <w:pPr>
        <w:spacing w:after="0" w:line="259" w:lineRule="auto"/>
        <w:ind w:left="0" w:firstLine="0"/>
      </w:pPr>
      <w:r>
        <w:t xml:space="preserve"> </w:t>
      </w:r>
    </w:p>
    <w:p w14:paraId="1910E4A7" w14:textId="77777777" w:rsidR="00F50D3A" w:rsidRDefault="00395364">
      <w:pPr>
        <w:ind w:left="-5"/>
      </w:pPr>
      <w:r>
        <w:t xml:space="preserve">The National interoperability stakeholders comprise: </w:t>
      </w:r>
    </w:p>
    <w:p w14:paraId="3820A8E5" w14:textId="77777777" w:rsidR="00F50D3A" w:rsidRDefault="00395364">
      <w:pPr>
        <w:numPr>
          <w:ilvl w:val="0"/>
          <w:numId w:val="1"/>
        </w:numPr>
        <w:ind w:hanging="360"/>
      </w:pPr>
      <w:r>
        <w:t xml:space="preserve">Environment Management: TII provides this environment management structure by </w:t>
      </w:r>
    </w:p>
    <w:p w14:paraId="57FC24F1" w14:textId="77777777" w:rsidR="00F50D3A" w:rsidRDefault="00395364">
      <w:pPr>
        <w:ind w:left="730"/>
      </w:pPr>
      <w:r>
        <w:t xml:space="preserve">procuring the IMS; </w:t>
      </w:r>
    </w:p>
    <w:p w14:paraId="7F2223E3" w14:textId="77777777" w:rsidR="00F50D3A" w:rsidRDefault="00395364">
      <w:pPr>
        <w:numPr>
          <w:ilvl w:val="0"/>
          <w:numId w:val="1"/>
        </w:numPr>
        <w:ind w:hanging="360"/>
      </w:pPr>
      <w:r>
        <w:t xml:space="preserve">IMSP: The Interoperability Management Service Provider, providing the IMS under contract to TII; </w:t>
      </w:r>
    </w:p>
    <w:p w14:paraId="3021B731" w14:textId="5A3F8989" w:rsidR="00F50D3A" w:rsidRDefault="00395364" w:rsidP="000B71C4">
      <w:pPr>
        <w:numPr>
          <w:ilvl w:val="0"/>
          <w:numId w:val="1"/>
        </w:numPr>
        <w:ind w:hanging="360"/>
      </w:pPr>
      <w:r>
        <w:t xml:space="preserve">Toll Chargers (TCs): entities charged with operating the toll roads and authorised to collect tolls, including the PPP concessionaires, TII and DCC; all accept ETC as a payment method on their facilities. Please note that where the term TC is used in </w:t>
      </w:r>
      <w:r>
        <w:lastRenderedPageBreak/>
        <w:t xml:space="preserve">this Toll Domain Statement, this may be taken to mean TII as owner of the M50 toll road or the operator of the M50 toll road as procured by TII; </w:t>
      </w:r>
    </w:p>
    <w:p w14:paraId="4B050EA8" w14:textId="7E05F78B" w:rsidR="00F50D3A" w:rsidRDefault="00395364" w:rsidP="000B71C4">
      <w:pPr>
        <w:numPr>
          <w:ilvl w:val="0"/>
          <w:numId w:val="1"/>
        </w:numPr>
        <w:ind w:hanging="360"/>
      </w:pPr>
      <w:r>
        <w:t xml:space="preserve">Toll Service Providers (TSPs): The entities that issue tags and manage ETC Service User accounts. They consist of PPP concessionaires, TII (via </w:t>
      </w:r>
      <w:proofErr w:type="spellStart"/>
      <w:r>
        <w:t>eFlow</w:t>
      </w:r>
      <w:proofErr w:type="spellEnd"/>
      <w:r>
        <w:t>) and two independent tag service providers (</w:t>
      </w:r>
      <w:proofErr w:type="spellStart"/>
      <w:r>
        <w:t>Easytrip</w:t>
      </w:r>
      <w:proofErr w:type="spellEnd"/>
      <w:r>
        <w:t xml:space="preserve"> and </w:t>
      </w:r>
      <w:proofErr w:type="spellStart"/>
      <w:r>
        <w:t>ParkMagic</w:t>
      </w:r>
      <w:proofErr w:type="spellEnd"/>
      <w:r>
        <w:t xml:space="preserve">); and </w:t>
      </w:r>
    </w:p>
    <w:p w14:paraId="1C101D53" w14:textId="0EFC0E61" w:rsidR="00F50D3A" w:rsidRDefault="00395364">
      <w:pPr>
        <w:numPr>
          <w:ilvl w:val="0"/>
          <w:numId w:val="1"/>
        </w:numPr>
        <w:ind w:hanging="360"/>
      </w:pPr>
      <w:r>
        <w:t>Service Users: These are the ETC Service Users who have registered for an account with the TSP. There are number of agreements that form part of the Irish interoperability system and that, under normal circumstances</w:t>
      </w:r>
      <w:r w:rsidR="00A7134A" w:rsidRPr="00A7134A">
        <w:rPr>
          <w:vertAlign w:val="superscript"/>
        </w:rPr>
        <w:t>1</w:t>
      </w:r>
      <w:r>
        <w:t xml:space="preserve">, parties are required to sign up to. These agreements are as follows: </w:t>
      </w:r>
    </w:p>
    <w:p w14:paraId="3141A7E9" w14:textId="77777777" w:rsidR="00F50D3A" w:rsidRDefault="00395364">
      <w:pPr>
        <w:spacing w:after="0" w:line="259" w:lineRule="auto"/>
        <w:ind w:left="0" w:firstLine="0"/>
      </w:pPr>
      <w:r>
        <w:t xml:space="preserve"> </w:t>
      </w:r>
    </w:p>
    <w:tbl>
      <w:tblPr>
        <w:tblStyle w:val="TableGrid"/>
        <w:tblW w:w="9014" w:type="dxa"/>
        <w:tblInd w:w="6" w:type="dxa"/>
        <w:tblCellMar>
          <w:top w:w="4" w:type="dxa"/>
          <w:left w:w="107" w:type="dxa"/>
          <w:bottom w:w="7" w:type="dxa"/>
          <w:right w:w="115" w:type="dxa"/>
        </w:tblCellMar>
        <w:tblLook w:val="04A0" w:firstRow="1" w:lastRow="0" w:firstColumn="1" w:lastColumn="0" w:noHBand="0" w:noVBand="1"/>
      </w:tblPr>
      <w:tblGrid>
        <w:gridCol w:w="4506"/>
        <w:gridCol w:w="4508"/>
      </w:tblGrid>
      <w:tr w:rsidR="00F50D3A" w14:paraId="09096A3E" w14:textId="77777777">
        <w:trPr>
          <w:trHeight w:val="1585"/>
        </w:trPr>
        <w:tc>
          <w:tcPr>
            <w:tcW w:w="4506" w:type="dxa"/>
            <w:tcBorders>
              <w:top w:val="single" w:sz="4" w:space="0" w:color="82D1F1"/>
              <w:left w:val="single" w:sz="4" w:space="0" w:color="82D1F1"/>
              <w:bottom w:val="single" w:sz="12" w:space="0" w:color="82D1F1"/>
              <w:right w:val="single" w:sz="4" w:space="0" w:color="82D1F1"/>
            </w:tcBorders>
          </w:tcPr>
          <w:p w14:paraId="3ED3564F" w14:textId="77777777" w:rsidR="00F50D3A" w:rsidRDefault="00395364">
            <w:pPr>
              <w:spacing w:after="0" w:line="259" w:lineRule="auto"/>
              <w:ind w:left="0" w:firstLine="0"/>
            </w:pPr>
            <w:r>
              <w:rPr>
                <w:b/>
              </w:rPr>
              <w:t xml:space="preserve">Interoperability Framework Agreement (IFA) </w:t>
            </w:r>
          </w:p>
        </w:tc>
        <w:tc>
          <w:tcPr>
            <w:tcW w:w="4508" w:type="dxa"/>
            <w:tcBorders>
              <w:top w:val="single" w:sz="4" w:space="0" w:color="82D1F1"/>
              <w:left w:val="single" w:sz="4" w:space="0" w:color="82D1F1"/>
              <w:bottom w:val="single" w:sz="12" w:space="0" w:color="82D1F1"/>
              <w:right w:val="single" w:sz="4" w:space="0" w:color="82D1F1"/>
            </w:tcBorders>
          </w:tcPr>
          <w:p w14:paraId="1E7204E5" w14:textId="4B369F04" w:rsidR="00F50D3A" w:rsidRDefault="00395364" w:rsidP="000B71C4">
            <w:pPr>
              <w:spacing w:after="0" w:line="259" w:lineRule="auto"/>
              <w:ind w:left="1" w:firstLine="0"/>
            </w:pPr>
            <w:r>
              <w:t xml:space="preserve">Terms and Conditions for entities who register as TSPs and TCs;  Data Exchange requirements; Interoperability rules; and </w:t>
            </w:r>
          </w:p>
          <w:p w14:paraId="17328AF4" w14:textId="77777777" w:rsidR="00F50D3A" w:rsidRDefault="00395364">
            <w:pPr>
              <w:spacing w:after="0" w:line="259" w:lineRule="auto"/>
              <w:ind w:left="1" w:firstLine="0"/>
            </w:pPr>
            <w:r>
              <w:t xml:space="preserve">New Entrant Suitability for Use Procedures </w:t>
            </w:r>
          </w:p>
        </w:tc>
      </w:tr>
      <w:tr w:rsidR="00F50D3A" w14:paraId="5865047C" w14:textId="77777777">
        <w:trPr>
          <w:trHeight w:val="1577"/>
        </w:trPr>
        <w:tc>
          <w:tcPr>
            <w:tcW w:w="4506" w:type="dxa"/>
            <w:tcBorders>
              <w:top w:val="single" w:sz="12" w:space="0" w:color="82D1F1"/>
              <w:left w:val="single" w:sz="4" w:space="0" w:color="82D1F1"/>
              <w:bottom w:val="single" w:sz="4" w:space="0" w:color="82D1F1"/>
              <w:right w:val="single" w:sz="4" w:space="0" w:color="82D1F1"/>
            </w:tcBorders>
            <w:shd w:val="clear" w:color="auto" w:fill="D5EFFA"/>
          </w:tcPr>
          <w:p w14:paraId="493D7775" w14:textId="77777777" w:rsidR="00F50D3A" w:rsidRDefault="00395364">
            <w:pPr>
              <w:spacing w:after="0" w:line="259" w:lineRule="auto"/>
              <w:ind w:left="0" w:firstLine="0"/>
            </w:pPr>
            <w:r>
              <w:rPr>
                <w:b/>
              </w:rPr>
              <w:t xml:space="preserve">Toll Collection Agreement (TCA) </w:t>
            </w:r>
          </w:p>
        </w:tc>
        <w:tc>
          <w:tcPr>
            <w:tcW w:w="4508" w:type="dxa"/>
            <w:tcBorders>
              <w:top w:val="single" w:sz="12" w:space="0" w:color="82D1F1"/>
              <w:left w:val="single" w:sz="4" w:space="0" w:color="82D1F1"/>
              <w:bottom w:val="single" w:sz="4" w:space="0" w:color="82D1F1"/>
              <w:right w:val="single" w:sz="4" w:space="0" w:color="82D1F1"/>
            </w:tcBorders>
            <w:shd w:val="clear" w:color="auto" w:fill="D5EFFA"/>
          </w:tcPr>
          <w:p w14:paraId="561CA06A" w14:textId="77777777" w:rsidR="00F50D3A" w:rsidRDefault="00395364">
            <w:pPr>
              <w:spacing w:after="0" w:line="238" w:lineRule="auto"/>
              <w:ind w:left="1" w:firstLine="0"/>
            </w:pPr>
            <w:r>
              <w:t xml:space="preserve">Commercial terms between parties, including collection fee;  </w:t>
            </w:r>
          </w:p>
          <w:p w14:paraId="2342E557" w14:textId="77777777" w:rsidR="00F50D3A" w:rsidRDefault="00395364">
            <w:pPr>
              <w:spacing w:after="0" w:line="259" w:lineRule="auto"/>
              <w:ind w:left="1" w:firstLine="0"/>
            </w:pPr>
            <w:r>
              <w:t xml:space="preserve">Responsibilities of respective parties; and  Arrangements for the administration and settlement of payments between TCs and </w:t>
            </w:r>
            <w:proofErr w:type="spellStart"/>
            <w:r>
              <w:t>TSPs.</w:t>
            </w:r>
            <w:proofErr w:type="spellEnd"/>
            <w:r>
              <w:t xml:space="preserve"> </w:t>
            </w:r>
          </w:p>
        </w:tc>
      </w:tr>
      <w:tr w:rsidR="00F50D3A" w14:paraId="7B96F6A2" w14:textId="77777777">
        <w:trPr>
          <w:trHeight w:val="431"/>
        </w:trPr>
        <w:tc>
          <w:tcPr>
            <w:tcW w:w="4506" w:type="dxa"/>
            <w:tcBorders>
              <w:top w:val="single" w:sz="4" w:space="0" w:color="82D1F1"/>
              <w:left w:val="single" w:sz="4" w:space="0" w:color="82D1F1"/>
              <w:bottom w:val="single" w:sz="4" w:space="0" w:color="82D1F1"/>
              <w:right w:val="single" w:sz="4" w:space="0" w:color="82D1F1"/>
            </w:tcBorders>
            <w:vAlign w:val="bottom"/>
          </w:tcPr>
          <w:p w14:paraId="3669E6A2" w14:textId="77777777" w:rsidR="00F50D3A" w:rsidRDefault="00395364">
            <w:pPr>
              <w:spacing w:after="0" w:line="259" w:lineRule="auto"/>
              <w:ind w:left="0" w:firstLine="0"/>
            </w:pPr>
            <w:r>
              <w:rPr>
                <w:b/>
              </w:rPr>
              <w:t xml:space="preserve">Supplemental Agreements </w:t>
            </w:r>
          </w:p>
        </w:tc>
        <w:tc>
          <w:tcPr>
            <w:tcW w:w="4508" w:type="dxa"/>
            <w:tcBorders>
              <w:top w:val="single" w:sz="4" w:space="0" w:color="82D1F1"/>
              <w:left w:val="single" w:sz="4" w:space="0" w:color="82D1F1"/>
              <w:bottom w:val="single" w:sz="4" w:space="0" w:color="82D1F1"/>
              <w:right w:val="single" w:sz="4" w:space="0" w:color="82D1F1"/>
            </w:tcBorders>
          </w:tcPr>
          <w:p w14:paraId="17C1A9AC" w14:textId="77777777" w:rsidR="00F50D3A" w:rsidRDefault="00395364">
            <w:pPr>
              <w:spacing w:after="0" w:line="259" w:lineRule="auto"/>
              <w:ind w:left="1" w:firstLine="0"/>
            </w:pPr>
            <w:r>
              <w:t xml:space="preserve">Other agreements as may be necessary / advised </w:t>
            </w:r>
          </w:p>
        </w:tc>
      </w:tr>
    </w:tbl>
    <w:p w14:paraId="6980AC2B" w14:textId="77777777" w:rsidR="00F50D3A" w:rsidRDefault="00395364">
      <w:pPr>
        <w:spacing w:after="0" w:line="259" w:lineRule="auto"/>
        <w:ind w:left="0" w:firstLine="0"/>
      </w:pPr>
      <w:r>
        <w:t xml:space="preserve"> </w:t>
      </w:r>
    </w:p>
    <w:p w14:paraId="0859EFA0" w14:textId="77777777" w:rsidR="00F50D3A" w:rsidRDefault="00395364">
      <w:pPr>
        <w:ind w:left="-5"/>
      </w:pPr>
      <w:r>
        <w:t xml:space="preserve">Registration as a TSP within this national interoperability scheme is a pre-requisite for any entity who wishes to offer the services of a TSP in Ireland. The terms and conditions for such registrations are provided on a non-discriminatory basis. Further detail of the process for a new TSP entering the Irish national interoperability scheme is described in Section 4.  </w:t>
      </w:r>
    </w:p>
    <w:p w14:paraId="7D4A8638" w14:textId="77777777" w:rsidR="00F50D3A" w:rsidRDefault="00395364">
      <w:pPr>
        <w:spacing w:after="0" w:line="259" w:lineRule="auto"/>
        <w:ind w:left="0" w:firstLine="0"/>
      </w:pPr>
      <w:r>
        <w:t xml:space="preserve"> </w:t>
      </w:r>
    </w:p>
    <w:p w14:paraId="2F0BFBEB" w14:textId="77777777" w:rsidR="00F50D3A" w:rsidRDefault="00395364">
      <w:pPr>
        <w:ind w:left="-5"/>
      </w:pPr>
      <w:r>
        <w:t xml:space="preserve">Further details of the national interoperability agreements are available from:  </w:t>
      </w:r>
    </w:p>
    <w:p w14:paraId="79CC3DA9" w14:textId="77777777" w:rsidR="00F50D3A" w:rsidRDefault="00395364">
      <w:pPr>
        <w:spacing w:after="0" w:line="259" w:lineRule="auto"/>
        <w:ind w:left="0" w:firstLine="0"/>
      </w:pPr>
      <w:r>
        <w:t xml:space="preserve"> </w:t>
      </w:r>
    </w:p>
    <w:p w14:paraId="2B666DB0" w14:textId="77777777" w:rsidR="00F50D3A" w:rsidRDefault="00395364">
      <w:pPr>
        <w:ind w:left="-5"/>
      </w:pPr>
      <w:r>
        <w:t xml:space="preserve">Transport Infrastructure Ireland,  </w:t>
      </w:r>
    </w:p>
    <w:p w14:paraId="138AC4FE" w14:textId="77777777" w:rsidR="00F50D3A" w:rsidRDefault="00395364">
      <w:pPr>
        <w:ind w:left="-5"/>
      </w:pPr>
      <w:r>
        <w:t xml:space="preserve">Head of Tolling Operations,  </w:t>
      </w:r>
    </w:p>
    <w:p w14:paraId="4DB405C3" w14:textId="77777777" w:rsidR="00F50D3A" w:rsidRDefault="00395364">
      <w:pPr>
        <w:ind w:left="-5"/>
      </w:pPr>
      <w:r>
        <w:t xml:space="preserve">Parkgate Business Centre,  </w:t>
      </w:r>
    </w:p>
    <w:p w14:paraId="0E4DDA3E" w14:textId="77777777" w:rsidR="00F50D3A" w:rsidRDefault="00395364">
      <w:pPr>
        <w:ind w:left="-5"/>
      </w:pPr>
      <w:r>
        <w:t xml:space="preserve">Parkgate Street,  </w:t>
      </w:r>
    </w:p>
    <w:p w14:paraId="5BBA2C2D" w14:textId="77777777" w:rsidR="00F50D3A" w:rsidRDefault="00395364">
      <w:pPr>
        <w:ind w:left="-5"/>
      </w:pPr>
      <w:r>
        <w:t xml:space="preserve">Dublin 8,  </w:t>
      </w:r>
    </w:p>
    <w:p w14:paraId="103DA845" w14:textId="77777777" w:rsidR="00F50D3A" w:rsidRDefault="00395364">
      <w:pPr>
        <w:ind w:left="-5"/>
      </w:pPr>
      <w:r>
        <w:t xml:space="preserve">D08 DK10 </w:t>
      </w:r>
    </w:p>
    <w:p w14:paraId="286D2474" w14:textId="77777777" w:rsidR="00F50D3A" w:rsidRDefault="00395364">
      <w:pPr>
        <w:spacing w:after="0" w:line="259" w:lineRule="auto"/>
        <w:ind w:left="0" w:firstLine="0"/>
      </w:pPr>
      <w:r>
        <w:t xml:space="preserve"> </w:t>
      </w:r>
    </w:p>
    <w:p w14:paraId="7E1C3141" w14:textId="77777777" w:rsidR="00F50D3A" w:rsidRDefault="00395364">
      <w:pPr>
        <w:spacing w:after="144" w:line="259" w:lineRule="auto"/>
        <w:ind w:left="0" w:firstLine="0"/>
      </w:pPr>
      <w:r>
        <w:t xml:space="preserve"> </w:t>
      </w:r>
    </w:p>
    <w:p w14:paraId="1A9A96E2" w14:textId="77777777" w:rsidR="00F50D3A" w:rsidRDefault="00395364">
      <w:pPr>
        <w:pStyle w:val="Heading1"/>
        <w:spacing w:after="96"/>
        <w:ind w:left="-5"/>
      </w:pPr>
      <w:r>
        <w:t>2.</w:t>
      </w:r>
      <w:r>
        <w:rPr>
          <w:rFonts w:ascii="Arial" w:eastAsia="Arial" w:hAnsi="Arial" w:cs="Arial"/>
        </w:rPr>
        <w:t xml:space="preserve"> </w:t>
      </w:r>
      <w:r>
        <w:t xml:space="preserve">PROCEDURAL CONDITIONS </w:t>
      </w:r>
    </w:p>
    <w:p w14:paraId="379B10C7" w14:textId="77777777" w:rsidR="00F50D3A" w:rsidRDefault="00395364">
      <w:pPr>
        <w:pStyle w:val="Heading2"/>
        <w:ind w:left="-5"/>
      </w:pPr>
      <w:r>
        <w:t xml:space="preserve">2.1 Toll Transaction Policy </w:t>
      </w:r>
    </w:p>
    <w:p w14:paraId="52DF705E" w14:textId="77777777" w:rsidR="00F50D3A" w:rsidRDefault="00395364">
      <w:pPr>
        <w:tabs>
          <w:tab w:val="center" w:pos="2682"/>
        </w:tabs>
        <w:spacing w:after="33" w:line="226" w:lineRule="auto"/>
        <w:ind w:left="-15" w:firstLine="0"/>
      </w:pPr>
      <w:r>
        <w:rPr>
          <w:color w:val="1A232A"/>
        </w:rPr>
        <w:t xml:space="preserve">2.1.1 </w:t>
      </w:r>
      <w:r>
        <w:rPr>
          <w:color w:val="1A232A"/>
        </w:rPr>
        <w:tab/>
        <w:t xml:space="preserve">Geography subject to the toll or charge </w:t>
      </w:r>
    </w:p>
    <w:p w14:paraId="60E6AA53" w14:textId="77777777" w:rsidR="00F50D3A" w:rsidRDefault="00395364">
      <w:pPr>
        <w:spacing w:after="0" w:line="259" w:lineRule="auto"/>
        <w:ind w:left="0" w:firstLine="0"/>
      </w:pPr>
      <w:r>
        <w:rPr>
          <w:color w:val="1A232A"/>
        </w:rPr>
        <w:lastRenderedPageBreak/>
        <w:t xml:space="preserve"> </w:t>
      </w:r>
    </w:p>
    <w:tbl>
      <w:tblPr>
        <w:tblStyle w:val="TableGrid"/>
        <w:tblW w:w="9014" w:type="dxa"/>
        <w:tblInd w:w="6" w:type="dxa"/>
        <w:tblCellMar>
          <w:top w:w="4" w:type="dxa"/>
          <w:left w:w="107" w:type="dxa"/>
          <w:bottom w:w="4" w:type="dxa"/>
          <w:right w:w="58" w:type="dxa"/>
        </w:tblCellMar>
        <w:tblLook w:val="04A0" w:firstRow="1" w:lastRow="0" w:firstColumn="1" w:lastColumn="0" w:noHBand="0" w:noVBand="1"/>
      </w:tblPr>
      <w:tblGrid>
        <w:gridCol w:w="4506"/>
        <w:gridCol w:w="4508"/>
      </w:tblGrid>
      <w:tr w:rsidR="00F50D3A" w14:paraId="68563F85" w14:textId="77777777">
        <w:trPr>
          <w:trHeight w:val="479"/>
        </w:trPr>
        <w:tc>
          <w:tcPr>
            <w:tcW w:w="4506" w:type="dxa"/>
            <w:tcBorders>
              <w:top w:val="single" w:sz="4" w:space="0" w:color="82D1F1"/>
              <w:left w:val="single" w:sz="4" w:space="0" w:color="82D1F1"/>
              <w:bottom w:val="single" w:sz="12" w:space="0" w:color="82D1F1"/>
              <w:right w:val="single" w:sz="4" w:space="0" w:color="82D1F1"/>
            </w:tcBorders>
            <w:vAlign w:val="bottom"/>
          </w:tcPr>
          <w:p w14:paraId="0C212CBD" w14:textId="77777777" w:rsidR="00F50D3A" w:rsidRDefault="00395364">
            <w:pPr>
              <w:spacing w:after="0" w:line="259" w:lineRule="auto"/>
              <w:ind w:left="0" w:firstLine="0"/>
            </w:pPr>
            <w:r>
              <w:rPr>
                <w:color w:val="2FB4E9"/>
                <w:sz w:val="28"/>
              </w:rPr>
              <w:t xml:space="preserve">Section </w:t>
            </w:r>
          </w:p>
        </w:tc>
        <w:tc>
          <w:tcPr>
            <w:tcW w:w="4508" w:type="dxa"/>
            <w:tcBorders>
              <w:top w:val="single" w:sz="4" w:space="0" w:color="82D1F1"/>
              <w:left w:val="single" w:sz="4" w:space="0" w:color="82D1F1"/>
              <w:bottom w:val="single" w:sz="12" w:space="0" w:color="82D1F1"/>
              <w:right w:val="single" w:sz="4" w:space="0" w:color="82D1F1"/>
            </w:tcBorders>
          </w:tcPr>
          <w:p w14:paraId="6FBE086D" w14:textId="77777777" w:rsidR="00F50D3A" w:rsidRDefault="00395364">
            <w:pPr>
              <w:spacing w:after="0" w:line="259" w:lineRule="auto"/>
              <w:ind w:left="1" w:firstLine="0"/>
            </w:pPr>
            <w:r>
              <w:rPr>
                <w:color w:val="2FB4E9"/>
                <w:sz w:val="28"/>
              </w:rPr>
              <w:t xml:space="preserve">Notes </w:t>
            </w:r>
          </w:p>
        </w:tc>
      </w:tr>
      <w:tr w:rsidR="00F50D3A" w14:paraId="7483A10C" w14:textId="77777777">
        <w:trPr>
          <w:trHeight w:val="1577"/>
        </w:trPr>
        <w:tc>
          <w:tcPr>
            <w:tcW w:w="4506" w:type="dxa"/>
            <w:tcBorders>
              <w:top w:val="single" w:sz="12" w:space="0" w:color="82D1F1"/>
              <w:left w:val="single" w:sz="4" w:space="0" w:color="82D1F1"/>
              <w:bottom w:val="single" w:sz="4" w:space="0" w:color="82D1F1"/>
              <w:right w:val="single" w:sz="4" w:space="0" w:color="82D1F1"/>
            </w:tcBorders>
            <w:shd w:val="clear" w:color="auto" w:fill="D5EFFA"/>
          </w:tcPr>
          <w:p w14:paraId="4FCFD052" w14:textId="77777777" w:rsidR="00F50D3A" w:rsidRDefault="00395364">
            <w:pPr>
              <w:spacing w:after="0" w:line="259" w:lineRule="auto"/>
              <w:ind w:left="0" w:firstLine="0"/>
            </w:pPr>
            <w:r>
              <w:rPr>
                <w:b/>
              </w:rPr>
              <w:t xml:space="preserve">The legal basis by which a toll/charge can be levied by the Scheme </w:t>
            </w:r>
          </w:p>
        </w:tc>
        <w:tc>
          <w:tcPr>
            <w:tcW w:w="4508" w:type="dxa"/>
            <w:tcBorders>
              <w:top w:val="single" w:sz="12" w:space="0" w:color="82D1F1"/>
              <w:left w:val="single" w:sz="4" w:space="0" w:color="82D1F1"/>
              <w:bottom w:val="single" w:sz="4" w:space="0" w:color="82D1F1"/>
              <w:right w:val="single" w:sz="4" w:space="0" w:color="82D1F1"/>
            </w:tcBorders>
            <w:shd w:val="clear" w:color="auto" w:fill="D5EFFA"/>
          </w:tcPr>
          <w:p w14:paraId="7277AF0E" w14:textId="77777777" w:rsidR="00F50D3A" w:rsidRDefault="00395364">
            <w:pPr>
              <w:spacing w:after="0" w:line="259" w:lineRule="auto"/>
              <w:ind w:left="1" w:firstLine="0"/>
            </w:pPr>
            <w:r>
              <w:t>Bye-Laws for the M50 (between Junctions 6 and 7) made pursuant to the Roads Act 1993 (as amended). Bye-Laws of the M50 can be found at: tii.ie/roads-tolling/tolling-information/</w:t>
            </w:r>
            <w:proofErr w:type="spellStart"/>
            <w:r>
              <w:t>statutorynotices</w:t>
            </w:r>
            <w:proofErr w:type="spellEnd"/>
            <w:r>
              <w:t xml:space="preserve">/ </w:t>
            </w:r>
          </w:p>
        </w:tc>
      </w:tr>
      <w:tr w:rsidR="00F50D3A" w14:paraId="73E9B477" w14:textId="77777777">
        <w:trPr>
          <w:trHeight w:val="431"/>
        </w:trPr>
        <w:tc>
          <w:tcPr>
            <w:tcW w:w="4506" w:type="dxa"/>
            <w:tcBorders>
              <w:top w:val="single" w:sz="4" w:space="0" w:color="82D1F1"/>
              <w:left w:val="single" w:sz="4" w:space="0" w:color="82D1F1"/>
              <w:bottom w:val="single" w:sz="4" w:space="0" w:color="82D1F1"/>
              <w:right w:val="single" w:sz="4" w:space="0" w:color="82D1F1"/>
            </w:tcBorders>
            <w:vAlign w:val="bottom"/>
          </w:tcPr>
          <w:p w14:paraId="78C63806" w14:textId="77777777" w:rsidR="00F50D3A" w:rsidRDefault="00395364">
            <w:pPr>
              <w:spacing w:after="0" w:line="259" w:lineRule="auto"/>
              <w:ind w:left="0" w:firstLine="0"/>
            </w:pPr>
            <w:r>
              <w:rPr>
                <w:b/>
              </w:rPr>
              <w:t xml:space="preserve">The overall area to which the Scheme applies </w:t>
            </w:r>
          </w:p>
        </w:tc>
        <w:tc>
          <w:tcPr>
            <w:tcW w:w="4508" w:type="dxa"/>
            <w:tcBorders>
              <w:top w:val="single" w:sz="4" w:space="0" w:color="82D1F1"/>
              <w:left w:val="single" w:sz="4" w:space="0" w:color="82D1F1"/>
              <w:bottom w:val="single" w:sz="4" w:space="0" w:color="82D1F1"/>
              <w:right w:val="single" w:sz="4" w:space="0" w:color="82D1F1"/>
            </w:tcBorders>
          </w:tcPr>
          <w:p w14:paraId="67604952" w14:textId="77777777" w:rsidR="00F50D3A" w:rsidRDefault="00395364">
            <w:pPr>
              <w:spacing w:after="0" w:line="259" w:lineRule="auto"/>
              <w:ind w:left="1" w:firstLine="0"/>
            </w:pPr>
            <w:r>
              <w:t xml:space="preserve">M50 (between Junctions 6 and 7) </w:t>
            </w:r>
          </w:p>
        </w:tc>
      </w:tr>
      <w:tr w:rsidR="00F50D3A" w14:paraId="3747CEC8" w14:textId="77777777">
        <w:trPr>
          <w:trHeight w:val="426"/>
        </w:trPr>
        <w:tc>
          <w:tcPr>
            <w:tcW w:w="4506" w:type="dxa"/>
            <w:tcBorders>
              <w:top w:val="single" w:sz="4" w:space="0" w:color="82D1F1"/>
              <w:left w:val="single" w:sz="4" w:space="0" w:color="82D1F1"/>
              <w:bottom w:val="single" w:sz="4" w:space="0" w:color="82D1F1"/>
              <w:right w:val="single" w:sz="4" w:space="0" w:color="82D1F1"/>
            </w:tcBorders>
            <w:shd w:val="clear" w:color="auto" w:fill="D5EFFA"/>
            <w:vAlign w:val="bottom"/>
          </w:tcPr>
          <w:p w14:paraId="67BD25B9" w14:textId="77777777" w:rsidR="00F50D3A" w:rsidRDefault="00395364">
            <w:pPr>
              <w:spacing w:after="0" w:line="259" w:lineRule="auto"/>
              <w:ind w:left="0" w:firstLine="0"/>
            </w:pPr>
            <w:r>
              <w:rPr>
                <w:b/>
              </w:rPr>
              <w:t xml:space="preserve">Charged roads/infrastructure </w:t>
            </w:r>
          </w:p>
        </w:tc>
        <w:tc>
          <w:tcPr>
            <w:tcW w:w="4508" w:type="dxa"/>
            <w:tcBorders>
              <w:top w:val="single" w:sz="4" w:space="0" w:color="82D1F1"/>
              <w:left w:val="single" w:sz="4" w:space="0" w:color="82D1F1"/>
              <w:bottom w:val="single" w:sz="4" w:space="0" w:color="82D1F1"/>
              <w:right w:val="single" w:sz="4" w:space="0" w:color="82D1F1"/>
            </w:tcBorders>
            <w:shd w:val="clear" w:color="auto" w:fill="D5EFFA"/>
          </w:tcPr>
          <w:p w14:paraId="5E5D2B02" w14:textId="77777777" w:rsidR="00F50D3A" w:rsidRDefault="00395364">
            <w:pPr>
              <w:spacing w:after="0" w:line="259" w:lineRule="auto"/>
              <w:ind w:left="1" w:firstLine="0"/>
            </w:pPr>
            <w:r>
              <w:t xml:space="preserve">M50 </w:t>
            </w:r>
          </w:p>
        </w:tc>
      </w:tr>
    </w:tbl>
    <w:p w14:paraId="58D4AD70" w14:textId="77777777" w:rsidR="00F50D3A" w:rsidRDefault="00395364">
      <w:pPr>
        <w:spacing w:after="212" w:line="259" w:lineRule="auto"/>
        <w:ind w:left="0" w:firstLine="0"/>
      </w:pPr>
      <w:r>
        <w:t xml:space="preserve"> </w:t>
      </w:r>
    </w:p>
    <w:p w14:paraId="720E9945" w14:textId="77777777" w:rsidR="00F50D3A" w:rsidRDefault="00395364">
      <w:pPr>
        <w:tabs>
          <w:tab w:val="center" w:pos="3044"/>
        </w:tabs>
        <w:ind w:left="-15" w:firstLine="0"/>
      </w:pPr>
      <w:r>
        <w:t xml:space="preserve">2.1.2 </w:t>
      </w:r>
      <w:r>
        <w:tab/>
        <w:t xml:space="preserve">General description of the transaction creation </w:t>
      </w:r>
    </w:p>
    <w:p w14:paraId="351AE860" w14:textId="77777777" w:rsidR="00F50D3A" w:rsidRDefault="00395364">
      <w:pPr>
        <w:spacing w:after="0" w:line="259" w:lineRule="auto"/>
        <w:ind w:left="0" w:firstLine="0"/>
      </w:pPr>
      <w:r>
        <w:t xml:space="preserve"> </w:t>
      </w:r>
    </w:p>
    <w:p w14:paraId="64516B89" w14:textId="77777777" w:rsidR="00F50D3A" w:rsidRDefault="00395364">
      <w:pPr>
        <w:ind w:left="-5"/>
      </w:pPr>
      <w:r>
        <w:t xml:space="preserve">A transaction is created for each vehicle that passes through the toll point charge. The following summarise the creation of a transaction: </w:t>
      </w:r>
    </w:p>
    <w:p w14:paraId="22975D9C" w14:textId="77777777" w:rsidR="00F50D3A" w:rsidRDefault="00395364">
      <w:pPr>
        <w:spacing w:after="0" w:line="259" w:lineRule="auto"/>
        <w:ind w:left="0" w:firstLine="0"/>
      </w:pPr>
      <w:r>
        <w:t xml:space="preserve"> </w:t>
      </w:r>
    </w:p>
    <w:p w14:paraId="23EEE04C" w14:textId="77777777" w:rsidR="00F50D3A" w:rsidRDefault="00395364">
      <w:pPr>
        <w:numPr>
          <w:ilvl w:val="0"/>
          <w:numId w:val="2"/>
        </w:numPr>
        <w:ind w:hanging="360"/>
      </w:pPr>
      <w:r>
        <w:t xml:space="preserve">The M50 is a free-flow single point charge which uses a combination of Dedicated Short Range Communication (DSRC) beacons and Automatic Number Plate Recognition (ANPR) cameras to capture the passage of vehicles.  </w:t>
      </w:r>
    </w:p>
    <w:p w14:paraId="1E1F870C" w14:textId="77777777" w:rsidR="00F50D3A" w:rsidRDefault="00395364">
      <w:pPr>
        <w:numPr>
          <w:ilvl w:val="0"/>
          <w:numId w:val="2"/>
        </w:numPr>
        <w:ind w:hanging="360"/>
      </w:pPr>
      <w:r>
        <w:t xml:space="preserve">A vehicle passage is detected through either the beacons interacting with an </w:t>
      </w:r>
      <w:proofErr w:type="spellStart"/>
      <w:r>
        <w:t>OnBoard</w:t>
      </w:r>
      <w:proofErr w:type="spellEnd"/>
      <w:r>
        <w:t xml:space="preserve"> Unit (OBU) contained within the vehicle or the vehicle’s Licence Plate Number (LPN) captured by the ANPR cameras.  </w:t>
      </w:r>
    </w:p>
    <w:p w14:paraId="3A8C9D1E" w14:textId="4D684EAD" w:rsidR="00F50D3A" w:rsidRDefault="00395364">
      <w:pPr>
        <w:numPr>
          <w:ilvl w:val="0"/>
          <w:numId w:val="2"/>
        </w:numPr>
        <w:ind w:hanging="360"/>
      </w:pPr>
      <w:r>
        <w:t>Vehicles equipped with an OBU are classified using the data contained within the Consolidated ETC White List</w:t>
      </w:r>
      <w:r w:rsidR="00A7134A" w:rsidRPr="00A7134A">
        <w:rPr>
          <w:vertAlign w:val="superscript"/>
        </w:rPr>
        <w:t>2</w:t>
      </w:r>
      <w:r>
        <w:t>, while non-OBU vehicles are classified by checking with the National Driver and Vehicle File (NVDF</w:t>
      </w:r>
      <w:r w:rsidR="00A7134A" w:rsidRPr="00A7134A">
        <w:rPr>
          <w:vertAlign w:val="superscript"/>
        </w:rPr>
        <w:t>3</w:t>
      </w:r>
      <w:r>
        <w:t xml:space="preserve">).  </w:t>
      </w:r>
    </w:p>
    <w:p w14:paraId="3F7465DC" w14:textId="77777777" w:rsidR="00F50D3A" w:rsidRDefault="00395364">
      <w:pPr>
        <w:numPr>
          <w:ilvl w:val="0"/>
          <w:numId w:val="2"/>
        </w:numPr>
        <w:ind w:hanging="360"/>
      </w:pPr>
      <w:r>
        <w:t xml:space="preserve">If there is a discrepancy in classification identified by the Service User, the transaction may be disputed and further evidence (such as photographs of the vehicle) may be used to ensure the Service User is correctly charged.  </w:t>
      </w:r>
    </w:p>
    <w:p w14:paraId="6F747A37" w14:textId="359F1618" w:rsidR="00F50D3A" w:rsidRDefault="00395364">
      <w:pPr>
        <w:numPr>
          <w:ilvl w:val="0"/>
          <w:numId w:val="2"/>
        </w:numPr>
        <w:ind w:hanging="360"/>
      </w:pPr>
      <w:r>
        <w:t>The system will check if the transaction is a valid passage. Each OBU holder is able to carry out a transaction if that OBU on the TC’s valid issuer list</w:t>
      </w:r>
      <w:r w:rsidR="00A7134A" w:rsidRPr="00A7134A">
        <w:rPr>
          <w:vertAlign w:val="superscript"/>
        </w:rPr>
        <w:t>4</w:t>
      </w:r>
      <w:r>
        <w:t xml:space="preserve"> and not on the Consolidated Black List.  </w:t>
      </w:r>
    </w:p>
    <w:p w14:paraId="62819341" w14:textId="77777777" w:rsidR="00F50D3A" w:rsidRDefault="00395364">
      <w:pPr>
        <w:numPr>
          <w:ilvl w:val="0"/>
          <w:numId w:val="2"/>
        </w:numPr>
        <w:ind w:hanging="360"/>
      </w:pPr>
      <w:r>
        <w:t xml:space="preserve">OBUs and Roadside Equipment (RSE) must be encoded with authentication and access keys provided by the IMSP in order for the OBU to be processed.  </w:t>
      </w:r>
    </w:p>
    <w:p w14:paraId="1FFB0772" w14:textId="77777777" w:rsidR="00F50D3A" w:rsidRDefault="00395364">
      <w:pPr>
        <w:numPr>
          <w:ilvl w:val="0"/>
          <w:numId w:val="2"/>
        </w:numPr>
        <w:ind w:hanging="360"/>
      </w:pPr>
      <w:r>
        <w:t xml:space="preserve">Charging and Enforcement Information (CEI) files are generated upon passage of the vehicle. The CEI files contain information regarding the vehicle passage required for the charging of a toll. • The IMSP will consolidate the CEI files from each interoperable TC and will create consolidated CEI files for each TSP, detailing all the transactions completed by each of its Service Users on the different toll points.  </w:t>
      </w:r>
    </w:p>
    <w:p w14:paraId="7C596A4A" w14:textId="28EDB3D0" w:rsidR="00F50D3A" w:rsidRDefault="00395364">
      <w:pPr>
        <w:numPr>
          <w:ilvl w:val="0"/>
          <w:numId w:val="2"/>
        </w:numPr>
        <w:ind w:hanging="360"/>
      </w:pPr>
      <w:r>
        <w:t>The IMSP will generate settlement statements based on the charging information received, setting out the total amount of toll revenue that the TSP owes the TC for the settlement period. The settlement period is to be agreed between the TC and TSP</w:t>
      </w:r>
      <w:r w:rsidR="001A5F0C" w:rsidRPr="001A5F0C">
        <w:rPr>
          <w:vertAlign w:val="superscript"/>
        </w:rPr>
        <w:t>6</w:t>
      </w:r>
      <w:r>
        <w:t xml:space="preserve">.  </w:t>
      </w:r>
    </w:p>
    <w:p w14:paraId="0D4F9CD6" w14:textId="0B84B840" w:rsidR="00F50D3A" w:rsidRDefault="00395364">
      <w:pPr>
        <w:numPr>
          <w:ilvl w:val="0"/>
          <w:numId w:val="2"/>
        </w:numPr>
        <w:ind w:hanging="360"/>
      </w:pPr>
      <w:r>
        <w:lastRenderedPageBreak/>
        <w:t xml:space="preserve">TCs will issue invoices to the relevant TSPs on the basis of the IMSP settlement statement less any service charges as documented in the TCA between each TC and TSP.  </w:t>
      </w:r>
    </w:p>
    <w:p w14:paraId="42406C46" w14:textId="77777777" w:rsidR="00F50D3A" w:rsidRDefault="00395364">
      <w:pPr>
        <w:numPr>
          <w:ilvl w:val="0"/>
          <w:numId w:val="2"/>
        </w:numPr>
        <w:ind w:hanging="360"/>
      </w:pPr>
      <w:r>
        <w:t xml:space="preserve">Payment may be demanded from the Service User by alternative means (i.e. treated as unregistered) should the OBU details: a) not appear on a valid consolidated white list, b) appear on both the consolidated white list and the consolidated black list at the same time, c) not be recognised by the toll system for reasons other than a) or b) above. </w:t>
      </w:r>
    </w:p>
    <w:p w14:paraId="3C868B8D" w14:textId="77777777" w:rsidR="00F50D3A" w:rsidRDefault="00395364">
      <w:pPr>
        <w:spacing w:after="0" w:line="259" w:lineRule="auto"/>
        <w:ind w:left="0" w:firstLine="0"/>
      </w:pPr>
      <w:r>
        <w:rPr>
          <w:color w:val="1A232A"/>
        </w:rPr>
        <w:t xml:space="preserve"> </w:t>
      </w:r>
    </w:p>
    <w:p w14:paraId="10A47D10" w14:textId="77777777" w:rsidR="00F50D3A" w:rsidRDefault="00395364">
      <w:pPr>
        <w:tabs>
          <w:tab w:val="center" w:pos="1557"/>
        </w:tabs>
        <w:ind w:left="-15" w:firstLine="0"/>
      </w:pPr>
      <w:r>
        <w:t xml:space="preserve">2.1.3 </w:t>
      </w:r>
      <w:r>
        <w:tab/>
        <w:t xml:space="preserve">Toll context data  </w:t>
      </w:r>
    </w:p>
    <w:p w14:paraId="115E8451" w14:textId="77777777" w:rsidR="00F50D3A" w:rsidRDefault="00395364">
      <w:pPr>
        <w:spacing w:after="0" w:line="259" w:lineRule="auto"/>
        <w:ind w:left="0" w:firstLine="0"/>
      </w:pPr>
      <w:r>
        <w:rPr>
          <w:color w:val="1A232A"/>
        </w:rPr>
        <w:t xml:space="preserve"> </w:t>
      </w:r>
    </w:p>
    <w:p w14:paraId="7206BF0F" w14:textId="77777777" w:rsidR="00F50D3A" w:rsidRDefault="00395364">
      <w:pPr>
        <w:ind w:left="-5"/>
      </w:pPr>
      <w:r>
        <w:t xml:space="preserve">This section sets out more detail on the tolls that Service Users have to pay to use the TC’s domain. </w:t>
      </w:r>
    </w:p>
    <w:p w14:paraId="07DCA607" w14:textId="77777777" w:rsidR="00F50D3A" w:rsidRDefault="00395364">
      <w:pPr>
        <w:spacing w:after="0" w:line="259" w:lineRule="auto"/>
        <w:ind w:left="0" w:firstLine="0"/>
      </w:pPr>
      <w:r>
        <w:rPr>
          <w:color w:val="1A232A"/>
        </w:rPr>
        <w:t xml:space="preserve"> </w:t>
      </w:r>
    </w:p>
    <w:p w14:paraId="36DA0C85" w14:textId="77777777" w:rsidR="00F50D3A" w:rsidRDefault="00395364">
      <w:pPr>
        <w:tabs>
          <w:tab w:val="center" w:pos="1878"/>
        </w:tabs>
        <w:ind w:left="-15" w:firstLine="0"/>
      </w:pPr>
      <w:r>
        <w:t xml:space="preserve">2.1.4 </w:t>
      </w:r>
      <w:r>
        <w:tab/>
        <w:t xml:space="preserve">Nature of toll or charge  </w:t>
      </w:r>
    </w:p>
    <w:p w14:paraId="661F2A13" w14:textId="77777777" w:rsidR="00F50D3A" w:rsidRDefault="00395364">
      <w:pPr>
        <w:spacing w:after="0" w:line="259" w:lineRule="auto"/>
        <w:ind w:left="0" w:firstLine="0"/>
      </w:pPr>
      <w:r>
        <w:t xml:space="preserve"> </w:t>
      </w:r>
    </w:p>
    <w:tbl>
      <w:tblPr>
        <w:tblStyle w:val="TableGrid"/>
        <w:tblW w:w="9014" w:type="dxa"/>
        <w:tblInd w:w="6" w:type="dxa"/>
        <w:tblCellMar>
          <w:top w:w="3" w:type="dxa"/>
          <w:left w:w="107" w:type="dxa"/>
          <w:bottom w:w="4" w:type="dxa"/>
          <w:right w:w="68" w:type="dxa"/>
        </w:tblCellMar>
        <w:tblLook w:val="04A0" w:firstRow="1" w:lastRow="0" w:firstColumn="1" w:lastColumn="0" w:noHBand="0" w:noVBand="1"/>
      </w:tblPr>
      <w:tblGrid>
        <w:gridCol w:w="4506"/>
        <w:gridCol w:w="4508"/>
      </w:tblGrid>
      <w:tr w:rsidR="00F50D3A" w14:paraId="5A8CF066" w14:textId="77777777">
        <w:trPr>
          <w:trHeight w:val="481"/>
        </w:trPr>
        <w:tc>
          <w:tcPr>
            <w:tcW w:w="4506" w:type="dxa"/>
            <w:tcBorders>
              <w:top w:val="single" w:sz="4" w:space="0" w:color="82D1F1"/>
              <w:left w:val="single" w:sz="4" w:space="0" w:color="82D1F1"/>
              <w:bottom w:val="single" w:sz="12" w:space="0" w:color="82D1F1"/>
              <w:right w:val="single" w:sz="4" w:space="0" w:color="82D1F1"/>
            </w:tcBorders>
            <w:vAlign w:val="bottom"/>
          </w:tcPr>
          <w:p w14:paraId="549DF9FC" w14:textId="77777777" w:rsidR="00F50D3A" w:rsidRDefault="00395364">
            <w:pPr>
              <w:spacing w:after="0" w:line="259" w:lineRule="auto"/>
              <w:ind w:left="0" w:firstLine="0"/>
            </w:pPr>
            <w:r>
              <w:rPr>
                <w:color w:val="2FB4E9"/>
                <w:sz w:val="28"/>
              </w:rPr>
              <w:t xml:space="preserve">Section </w:t>
            </w:r>
          </w:p>
        </w:tc>
        <w:tc>
          <w:tcPr>
            <w:tcW w:w="4508" w:type="dxa"/>
            <w:tcBorders>
              <w:top w:val="single" w:sz="4" w:space="0" w:color="82D1F1"/>
              <w:left w:val="single" w:sz="4" w:space="0" w:color="82D1F1"/>
              <w:bottom w:val="single" w:sz="12" w:space="0" w:color="82D1F1"/>
              <w:right w:val="single" w:sz="4" w:space="0" w:color="82D1F1"/>
            </w:tcBorders>
          </w:tcPr>
          <w:p w14:paraId="4B8C25A4" w14:textId="77777777" w:rsidR="00F50D3A" w:rsidRDefault="00395364">
            <w:pPr>
              <w:spacing w:after="0" w:line="259" w:lineRule="auto"/>
              <w:ind w:left="1" w:firstLine="0"/>
            </w:pPr>
            <w:r>
              <w:rPr>
                <w:color w:val="2FB4E9"/>
                <w:sz w:val="28"/>
              </w:rPr>
              <w:t xml:space="preserve">Notes  </w:t>
            </w:r>
          </w:p>
        </w:tc>
      </w:tr>
      <w:tr w:rsidR="00F50D3A" w14:paraId="166D5C6F" w14:textId="77777777">
        <w:trPr>
          <w:trHeight w:val="432"/>
        </w:trPr>
        <w:tc>
          <w:tcPr>
            <w:tcW w:w="4506" w:type="dxa"/>
            <w:tcBorders>
              <w:top w:val="single" w:sz="12" w:space="0" w:color="82D1F1"/>
              <w:left w:val="single" w:sz="4" w:space="0" w:color="82D1F1"/>
              <w:bottom w:val="single" w:sz="4" w:space="0" w:color="82D1F1"/>
              <w:right w:val="single" w:sz="4" w:space="0" w:color="82D1F1"/>
            </w:tcBorders>
            <w:shd w:val="clear" w:color="auto" w:fill="D5EFFA"/>
            <w:vAlign w:val="bottom"/>
          </w:tcPr>
          <w:p w14:paraId="6BEF6181" w14:textId="77777777" w:rsidR="00F50D3A" w:rsidRDefault="00395364">
            <w:pPr>
              <w:spacing w:after="0" w:line="259" w:lineRule="auto"/>
              <w:ind w:left="0" w:firstLine="0"/>
            </w:pPr>
            <w:r>
              <w:rPr>
                <w:b/>
              </w:rPr>
              <w:t xml:space="preserve">Charging days </w:t>
            </w:r>
          </w:p>
        </w:tc>
        <w:tc>
          <w:tcPr>
            <w:tcW w:w="4508" w:type="dxa"/>
            <w:tcBorders>
              <w:top w:val="single" w:sz="12" w:space="0" w:color="82D1F1"/>
              <w:left w:val="single" w:sz="4" w:space="0" w:color="82D1F1"/>
              <w:bottom w:val="single" w:sz="4" w:space="0" w:color="82D1F1"/>
              <w:right w:val="single" w:sz="4" w:space="0" w:color="82D1F1"/>
            </w:tcBorders>
            <w:shd w:val="clear" w:color="auto" w:fill="D5EFFA"/>
          </w:tcPr>
          <w:p w14:paraId="597C73A5" w14:textId="77777777" w:rsidR="00F50D3A" w:rsidRDefault="00395364">
            <w:pPr>
              <w:spacing w:after="0" w:line="259" w:lineRule="auto"/>
              <w:ind w:left="1" w:firstLine="0"/>
            </w:pPr>
            <w:r>
              <w:t xml:space="preserve">All days of the year are tolled. </w:t>
            </w:r>
          </w:p>
        </w:tc>
      </w:tr>
      <w:tr w:rsidR="00F50D3A" w14:paraId="30A3260B" w14:textId="77777777">
        <w:trPr>
          <w:trHeight w:val="1286"/>
        </w:trPr>
        <w:tc>
          <w:tcPr>
            <w:tcW w:w="4506" w:type="dxa"/>
            <w:tcBorders>
              <w:top w:val="single" w:sz="4" w:space="0" w:color="82D1F1"/>
              <w:left w:val="single" w:sz="4" w:space="0" w:color="82D1F1"/>
              <w:bottom w:val="single" w:sz="4" w:space="0" w:color="82D1F1"/>
              <w:right w:val="single" w:sz="4" w:space="0" w:color="82D1F1"/>
            </w:tcBorders>
          </w:tcPr>
          <w:p w14:paraId="7C7FB97B" w14:textId="77777777" w:rsidR="00F50D3A" w:rsidRDefault="00395364">
            <w:pPr>
              <w:spacing w:after="0" w:line="259" w:lineRule="auto"/>
              <w:ind w:left="0" w:firstLine="0"/>
            </w:pPr>
            <w:r>
              <w:rPr>
                <w:b/>
              </w:rPr>
              <w:t xml:space="preserve">Charging hours </w:t>
            </w:r>
          </w:p>
        </w:tc>
        <w:tc>
          <w:tcPr>
            <w:tcW w:w="4508" w:type="dxa"/>
            <w:tcBorders>
              <w:top w:val="single" w:sz="4" w:space="0" w:color="82D1F1"/>
              <w:left w:val="single" w:sz="4" w:space="0" w:color="82D1F1"/>
              <w:bottom w:val="single" w:sz="4" w:space="0" w:color="82D1F1"/>
              <w:right w:val="single" w:sz="4" w:space="0" w:color="82D1F1"/>
            </w:tcBorders>
          </w:tcPr>
          <w:p w14:paraId="4AFB9580" w14:textId="77777777" w:rsidR="00F50D3A" w:rsidRDefault="00395364">
            <w:pPr>
              <w:spacing w:after="0" w:line="259" w:lineRule="auto"/>
              <w:ind w:left="1" w:firstLine="0"/>
            </w:pPr>
            <w:r>
              <w:t xml:space="preserve">The same toll rates apply throughout the whole day without any differentiations between different hours of the day or between weekdays and weekends </w:t>
            </w:r>
          </w:p>
        </w:tc>
      </w:tr>
      <w:tr w:rsidR="00F50D3A" w14:paraId="57403974" w14:textId="77777777">
        <w:trPr>
          <w:trHeight w:val="2436"/>
        </w:trPr>
        <w:tc>
          <w:tcPr>
            <w:tcW w:w="4506" w:type="dxa"/>
            <w:tcBorders>
              <w:top w:val="single" w:sz="4" w:space="0" w:color="82D1F1"/>
              <w:left w:val="single" w:sz="4" w:space="0" w:color="82D1F1"/>
              <w:bottom w:val="single" w:sz="4" w:space="0" w:color="82D1F1"/>
              <w:right w:val="single" w:sz="4" w:space="0" w:color="82D1F1"/>
            </w:tcBorders>
            <w:shd w:val="clear" w:color="auto" w:fill="D5EFFA"/>
          </w:tcPr>
          <w:p w14:paraId="7DF745F7" w14:textId="77777777" w:rsidR="00F50D3A" w:rsidRDefault="00395364">
            <w:pPr>
              <w:spacing w:after="0" w:line="259" w:lineRule="auto"/>
              <w:ind w:left="0" w:firstLine="0"/>
            </w:pPr>
            <w:r>
              <w:rPr>
                <w:b/>
              </w:rPr>
              <w:t xml:space="preserve">Summary of how the charge is calculated </w:t>
            </w:r>
          </w:p>
        </w:tc>
        <w:tc>
          <w:tcPr>
            <w:tcW w:w="4508" w:type="dxa"/>
            <w:tcBorders>
              <w:top w:val="single" w:sz="4" w:space="0" w:color="82D1F1"/>
              <w:left w:val="single" w:sz="4" w:space="0" w:color="82D1F1"/>
              <w:bottom w:val="single" w:sz="4" w:space="0" w:color="82D1F1"/>
              <w:right w:val="single" w:sz="4" w:space="0" w:color="82D1F1"/>
            </w:tcBorders>
            <w:shd w:val="clear" w:color="auto" w:fill="D5EFFA"/>
          </w:tcPr>
          <w:p w14:paraId="124409FF" w14:textId="77777777" w:rsidR="00F50D3A" w:rsidRDefault="00395364">
            <w:pPr>
              <w:spacing w:after="0" w:line="259" w:lineRule="auto"/>
              <w:ind w:left="1" w:firstLine="0"/>
            </w:pPr>
            <w:r>
              <w:t xml:space="preserve">The M50 toll is a point charge based on vehicles passing through toll gantries. The toll rates applied are set by TII in accordance with the M50 </w:t>
            </w:r>
            <w:proofErr w:type="spellStart"/>
            <w:r>
              <w:t>ByeLaws</w:t>
            </w:r>
            <w:proofErr w:type="spellEnd"/>
            <w:r>
              <w:t xml:space="preserve">. These stipulate the Base Tolls which can be adjusted annually considering changes in the Consumer Price Index. A list of the tolls will be published in a national daily newspaper before the 1st January of the relevant year. </w:t>
            </w:r>
          </w:p>
        </w:tc>
      </w:tr>
    </w:tbl>
    <w:p w14:paraId="55E8EB5C" w14:textId="77777777" w:rsidR="00F50D3A" w:rsidRDefault="00395364">
      <w:pPr>
        <w:spacing w:after="0" w:line="259" w:lineRule="auto"/>
        <w:ind w:left="0" w:firstLine="0"/>
      </w:pPr>
      <w:r>
        <w:t xml:space="preserve"> </w:t>
      </w:r>
    </w:p>
    <w:p w14:paraId="639A088E" w14:textId="77777777" w:rsidR="00F50D3A" w:rsidRDefault="00395364">
      <w:pPr>
        <w:spacing w:after="33" w:line="226" w:lineRule="auto"/>
        <w:ind w:left="-5"/>
      </w:pPr>
      <w:r>
        <w:t xml:space="preserve">2.1.5  </w:t>
      </w:r>
      <w:r>
        <w:rPr>
          <w:color w:val="1A232A"/>
        </w:rPr>
        <w:t xml:space="preserve">Standard road user charges payable </w:t>
      </w:r>
    </w:p>
    <w:p w14:paraId="27470B26" w14:textId="77777777" w:rsidR="00F50D3A" w:rsidRDefault="00395364">
      <w:pPr>
        <w:spacing w:after="0" w:line="259" w:lineRule="auto"/>
        <w:ind w:left="0" w:firstLine="0"/>
      </w:pPr>
      <w:r>
        <w:rPr>
          <w:color w:val="1A232A"/>
        </w:rPr>
        <w:t xml:space="preserve"> </w:t>
      </w:r>
    </w:p>
    <w:p w14:paraId="6B83894B" w14:textId="77777777" w:rsidR="00F50D3A" w:rsidRDefault="00395364">
      <w:pPr>
        <w:spacing w:after="33" w:line="226" w:lineRule="auto"/>
        <w:ind w:left="-5"/>
      </w:pPr>
      <w:r>
        <w:rPr>
          <w:color w:val="1A232A"/>
        </w:rPr>
        <w:t xml:space="preserve">Tolls vary according to vehicle class and different charges apply according to whether a vehicle is unregistered or registered. Furthermore, charges vary depending on whether registered Service Users OBU or video registered.  </w:t>
      </w:r>
    </w:p>
    <w:p w14:paraId="3036EFF1" w14:textId="77777777" w:rsidR="00F50D3A" w:rsidRDefault="00395364">
      <w:pPr>
        <w:spacing w:after="0" w:line="259" w:lineRule="auto"/>
        <w:ind w:left="0" w:firstLine="0"/>
      </w:pPr>
      <w:r>
        <w:t xml:space="preserve"> </w:t>
      </w:r>
    </w:p>
    <w:p w14:paraId="469FC765" w14:textId="77777777" w:rsidR="00F50D3A" w:rsidRDefault="00395364">
      <w:pPr>
        <w:ind w:left="-5"/>
      </w:pPr>
      <w:r>
        <w:t xml:space="preserve">The different applicable charges are: </w:t>
      </w:r>
    </w:p>
    <w:p w14:paraId="7AB1352B" w14:textId="77777777" w:rsidR="00F50D3A" w:rsidRDefault="00395364">
      <w:pPr>
        <w:spacing w:after="0" w:line="259" w:lineRule="auto"/>
        <w:ind w:left="0" w:firstLine="0"/>
      </w:pPr>
      <w:r>
        <w:t xml:space="preserve"> </w:t>
      </w:r>
    </w:p>
    <w:p w14:paraId="7B51BDC2" w14:textId="68C5FA01" w:rsidR="00F50D3A" w:rsidRDefault="00395364">
      <w:pPr>
        <w:ind w:left="-5"/>
      </w:pPr>
      <w:r>
        <w:t>Pricing table-prices valid from 1st January 20</w:t>
      </w:r>
      <w:r w:rsidR="000D17A9">
        <w:t>21</w:t>
      </w:r>
      <w:r>
        <w:t xml:space="preserve"> </w:t>
      </w:r>
    </w:p>
    <w:p w14:paraId="09E9C785" w14:textId="77777777" w:rsidR="00F50D3A" w:rsidRDefault="00395364">
      <w:pPr>
        <w:spacing w:after="0" w:line="259" w:lineRule="auto"/>
        <w:ind w:left="0" w:firstLine="0"/>
      </w:pPr>
      <w:r>
        <w:lastRenderedPageBreak/>
        <w:t xml:space="preserve"> </w:t>
      </w:r>
    </w:p>
    <w:tbl>
      <w:tblPr>
        <w:tblStyle w:val="TableGrid"/>
        <w:tblW w:w="9014" w:type="dxa"/>
        <w:tblInd w:w="6" w:type="dxa"/>
        <w:tblCellMar>
          <w:top w:w="3" w:type="dxa"/>
          <w:left w:w="107" w:type="dxa"/>
          <w:bottom w:w="4" w:type="dxa"/>
          <w:right w:w="79" w:type="dxa"/>
        </w:tblCellMar>
        <w:tblLook w:val="04A0" w:firstRow="1" w:lastRow="0" w:firstColumn="1" w:lastColumn="0" w:noHBand="0" w:noVBand="1"/>
      </w:tblPr>
      <w:tblGrid>
        <w:gridCol w:w="1797"/>
        <w:gridCol w:w="1795"/>
        <w:gridCol w:w="1800"/>
        <w:gridCol w:w="1800"/>
        <w:gridCol w:w="1822"/>
      </w:tblGrid>
      <w:tr w:rsidR="00F50D3A" w14:paraId="2B587256" w14:textId="77777777">
        <w:trPr>
          <w:trHeight w:val="818"/>
        </w:trPr>
        <w:tc>
          <w:tcPr>
            <w:tcW w:w="1801" w:type="dxa"/>
            <w:tcBorders>
              <w:top w:val="single" w:sz="4" w:space="0" w:color="82D1F1"/>
              <w:left w:val="single" w:sz="4" w:space="0" w:color="82D1F1"/>
              <w:bottom w:val="single" w:sz="12" w:space="0" w:color="82D1F1"/>
              <w:right w:val="single" w:sz="4" w:space="0" w:color="82D1F1"/>
            </w:tcBorders>
          </w:tcPr>
          <w:p w14:paraId="6897FF86" w14:textId="77777777" w:rsidR="00F50D3A" w:rsidRDefault="00395364">
            <w:pPr>
              <w:spacing w:after="0" w:line="259" w:lineRule="auto"/>
              <w:ind w:left="0" w:firstLine="0"/>
            </w:pPr>
            <w:r>
              <w:rPr>
                <w:color w:val="2FB4E9"/>
                <w:sz w:val="28"/>
              </w:rPr>
              <w:t xml:space="preserve">Vehicle type </w:t>
            </w:r>
          </w:p>
        </w:tc>
        <w:tc>
          <w:tcPr>
            <w:tcW w:w="1804" w:type="dxa"/>
            <w:tcBorders>
              <w:top w:val="single" w:sz="4" w:space="0" w:color="82D1F1"/>
              <w:left w:val="single" w:sz="4" w:space="0" w:color="82D1F1"/>
              <w:bottom w:val="single" w:sz="12" w:space="0" w:color="82D1F1"/>
              <w:right w:val="single" w:sz="4" w:space="0" w:color="82D1F1"/>
            </w:tcBorders>
          </w:tcPr>
          <w:p w14:paraId="2A329917" w14:textId="77777777" w:rsidR="00F50D3A" w:rsidRDefault="00395364">
            <w:pPr>
              <w:spacing w:after="0" w:line="259" w:lineRule="auto"/>
              <w:ind w:left="1" w:firstLine="0"/>
            </w:pPr>
            <w:r>
              <w:rPr>
                <w:color w:val="2FB4E9"/>
                <w:sz w:val="28"/>
              </w:rPr>
              <w:t xml:space="preserve">Class </w:t>
            </w:r>
          </w:p>
        </w:tc>
        <w:tc>
          <w:tcPr>
            <w:tcW w:w="1804" w:type="dxa"/>
            <w:tcBorders>
              <w:top w:val="single" w:sz="4" w:space="0" w:color="82D1F1"/>
              <w:left w:val="single" w:sz="4" w:space="0" w:color="82D1F1"/>
              <w:bottom w:val="single" w:sz="12" w:space="0" w:color="82D1F1"/>
              <w:right w:val="single" w:sz="4" w:space="0" w:color="82D1F1"/>
            </w:tcBorders>
          </w:tcPr>
          <w:p w14:paraId="7227BFEC" w14:textId="77777777" w:rsidR="00F50D3A" w:rsidRDefault="00395364">
            <w:pPr>
              <w:spacing w:after="0" w:line="259" w:lineRule="auto"/>
              <w:ind w:left="2" w:firstLine="0"/>
            </w:pPr>
            <w:r>
              <w:rPr>
                <w:color w:val="2FB4E9"/>
                <w:sz w:val="28"/>
              </w:rPr>
              <w:t xml:space="preserve">ETC Tag registered </w:t>
            </w:r>
          </w:p>
        </w:tc>
        <w:tc>
          <w:tcPr>
            <w:tcW w:w="1804" w:type="dxa"/>
            <w:tcBorders>
              <w:top w:val="single" w:sz="4" w:space="0" w:color="82D1F1"/>
              <w:left w:val="single" w:sz="4" w:space="0" w:color="82D1F1"/>
              <w:bottom w:val="single" w:sz="12" w:space="0" w:color="82D1F1"/>
              <w:right w:val="single" w:sz="4" w:space="0" w:color="82D1F1"/>
            </w:tcBorders>
          </w:tcPr>
          <w:p w14:paraId="79FAC641" w14:textId="77777777" w:rsidR="00F50D3A" w:rsidRDefault="00395364">
            <w:pPr>
              <w:spacing w:after="0" w:line="259" w:lineRule="auto"/>
              <w:ind w:left="1" w:firstLine="0"/>
            </w:pPr>
            <w:r>
              <w:rPr>
                <w:color w:val="2FB4E9"/>
                <w:sz w:val="28"/>
              </w:rPr>
              <w:t xml:space="preserve">Non-ETC Video registered </w:t>
            </w:r>
          </w:p>
        </w:tc>
        <w:tc>
          <w:tcPr>
            <w:tcW w:w="1802" w:type="dxa"/>
            <w:tcBorders>
              <w:top w:val="single" w:sz="4" w:space="0" w:color="82D1F1"/>
              <w:left w:val="single" w:sz="4" w:space="0" w:color="82D1F1"/>
              <w:bottom w:val="single" w:sz="12" w:space="0" w:color="82D1F1"/>
              <w:right w:val="single" w:sz="4" w:space="0" w:color="82D1F1"/>
            </w:tcBorders>
          </w:tcPr>
          <w:p w14:paraId="24949FD4" w14:textId="77777777" w:rsidR="00F50D3A" w:rsidRDefault="00395364">
            <w:pPr>
              <w:spacing w:after="0" w:line="259" w:lineRule="auto"/>
              <w:ind w:left="0" w:firstLine="0"/>
            </w:pPr>
            <w:r>
              <w:rPr>
                <w:color w:val="2FB4E9"/>
                <w:sz w:val="28"/>
              </w:rPr>
              <w:t xml:space="preserve">Non-ETC </w:t>
            </w:r>
          </w:p>
          <w:p w14:paraId="74C4575D" w14:textId="77777777" w:rsidR="00F50D3A" w:rsidRDefault="00395364">
            <w:pPr>
              <w:spacing w:after="0" w:line="259" w:lineRule="auto"/>
              <w:ind w:left="0" w:firstLine="0"/>
            </w:pPr>
            <w:r>
              <w:rPr>
                <w:color w:val="2FB4E9"/>
                <w:sz w:val="28"/>
              </w:rPr>
              <w:t xml:space="preserve">Nonregistered </w:t>
            </w:r>
          </w:p>
        </w:tc>
      </w:tr>
      <w:tr w:rsidR="00F50D3A" w14:paraId="13915E5C" w14:textId="77777777">
        <w:trPr>
          <w:trHeight w:val="431"/>
        </w:trPr>
        <w:tc>
          <w:tcPr>
            <w:tcW w:w="1801" w:type="dxa"/>
            <w:tcBorders>
              <w:top w:val="single" w:sz="12" w:space="0" w:color="82D1F1"/>
              <w:left w:val="single" w:sz="4" w:space="0" w:color="82D1F1"/>
              <w:bottom w:val="single" w:sz="4" w:space="0" w:color="82D1F1"/>
              <w:right w:val="single" w:sz="4" w:space="0" w:color="82D1F1"/>
            </w:tcBorders>
            <w:shd w:val="clear" w:color="auto" w:fill="D5EFFA"/>
            <w:vAlign w:val="bottom"/>
          </w:tcPr>
          <w:p w14:paraId="7B272847" w14:textId="77777777" w:rsidR="00F50D3A" w:rsidRDefault="00395364">
            <w:pPr>
              <w:spacing w:after="0" w:line="259" w:lineRule="auto"/>
              <w:ind w:left="0" w:firstLine="0"/>
            </w:pPr>
            <w:r>
              <w:rPr>
                <w:b/>
              </w:rPr>
              <w:t xml:space="preserve">Cars </w:t>
            </w:r>
          </w:p>
        </w:tc>
        <w:tc>
          <w:tcPr>
            <w:tcW w:w="1804" w:type="dxa"/>
            <w:tcBorders>
              <w:top w:val="single" w:sz="12" w:space="0" w:color="82D1F1"/>
              <w:left w:val="single" w:sz="4" w:space="0" w:color="82D1F1"/>
              <w:bottom w:val="single" w:sz="4" w:space="0" w:color="82D1F1"/>
              <w:right w:val="single" w:sz="4" w:space="0" w:color="82D1F1"/>
            </w:tcBorders>
            <w:shd w:val="clear" w:color="auto" w:fill="D5EFFA"/>
          </w:tcPr>
          <w:p w14:paraId="2841203C" w14:textId="77777777" w:rsidR="00F50D3A" w:rsidRDefault="00395364">
            <w:pPr>
              <w:spacing w:after="0" w:line="259" w:lineRule="auto"/>
              <w:ind w:left="1" w:firstLine="0"/>
            </w:pPr>
            <w:r>
              <w:t xml:space="preserve">Class 2 </w:t>
            </w:r>
          </w:p>
        </w:tc>
        <w:tc>
          <w:tcPr>
            <w:tcW w:w="1804" w:type="dxa"/>
            <w:tcBorders>
              <w:top w:val="single" w:sz="12" w:space="0" w:color="82D1F1"/>
              <w:left w:val="single" w:sz="4" w:space="0" w:color="82D1F1"/>
              <w:bottom w:val="single" w:sz="4" w:space="0" w:color="82D1F1"/>
              <w:right w:val="single" w:sz="4" w:space="0" w:color="82D1F1"/>
            </w:tcBorders>
            <w:shd w:val="clear" w:color="auto" w:fill="D5EFFA"/>
          </w:tcPr>
          <w:p w14:paraId="657E5BC3" w14:textId="77777777" w:rsidR="00F50D3A" w:rsidRDefault="00395364">
            <w:pPr>
              <w:spacing w:after="0" w:line="259" w:lineRule="auto"/>
              <w:ind w:left="2" w:firstLine="0"/>
            </w:pPr>
            <w:r>
              <w:t xml:space="preserve">€2.10 </w:t>
            </w:r>
          </w:p>
        </w:tc>
        <w:tc>
          <w:tcPr>
            <w:tcW w:w="1804" w:type="dxa"/>
            <w:tcBorders>
              <w:top w:val="single" w:sz="12" w:space="0" w:color="82D1F1"/>
              <w:left w:val="single" w:sz="4" w:space="0" w:color="82D1F1"/>
              <w:bottom w:val="single" w:sz="4" w:space="0" w:color="82D1F1"/>
              <w:right w:val="single" w:sz="4" w:space="0" w:color="82D1F1"/>
            </w:tcBorders>
            <w:shd w:val="clear" w:color="auto" w:fill="D5EFFA"/>
          </w:tcPr>
          <w:p w14:paraId="3B9329FF" w14:textId="77777777" w:rsidR="00F50D3A" w:rsidRDefault="00395364">
            <w:pPr>
              <w:spacing w:after="0" w:line="259" w:lineRule="auto"/>
              <w:ind w:left="1" w:firstLine="0"/>
            </w:pPr>
            <w:r>
              <w:t xml:space="preserve">€2.60 </w:t>
            </w:r>
          </w:p>
        </w:tc>
        <w:tc>
          <w:tcPr>
            <w:tcW w:w="1802" w:type="dxa"/>
            <w:tcBorders>
              <w:top w:val="single" w:sz="12" w:space="0" w:color="82D1F1"/>
              <w:left w:val="single" w:sz="4" w:space="0" w:color="82D1F1"/>
              <w:bottom w:val="single" w:sz="4" w:space="0" w:color="82D1F1"/>
              <w:right w:val="single" w:sz="4" w:space="0" w:color="82D1F1"/>
            </w:tcBorders>
            <w:shd w:val="clear" w:color="auto" w:fill="D5EFFA"/>
          </w:tcPr>
          <w:p w14:paraId="17BEF388" w14:textId="77777777" w:rsidR="00F50D3A" w:rsidRDefault="00395364">
            <w:pPr>
              <w:spacing w:after="0" w:line="259" w:lineRule="auto"/>
              <w:ind w:left="0" w:firstLine="0"/>
            </w:pPr>
            <w:r>
              <w:t xml:space="preserve">€3.10 </w:t>
            </w:r>
          </w:p>
        </w:tc>
      </w:tr>
      <w:tr w:rsidR="00F50D3A" w14:paraId="61C36669" w14:textId="77777777">
        <w:trPr>
          <w:trHeight w:val="1319"/>
        </w:trPr>
        <w:tc>
          <w:tcPr>
            <w:tcW w:w="1801" w:type="dxa"/>
            <w:tcBorders>
              <w:top w:val="single" w:sz="4" w:space="0" w:color="82D1F1"/>
              <w:left w:val="single" w:sz="4" w:space="0" w:color="82D1F1"/>
              <w:bottom w:val="single" w:sz="4" w:space="0" w:color="82D1F1"/>
              <w:right w:val="single" w:sz="4" w:space="0" w:color="82D1F1"/>
            </w:tcBorders>
            <w:vAlign w:val="bottom"/>
          </w:tcPr>
          <w:p w14:paraId="4ADD9A81" w14:textId="77777777" w:rsidR="00F50D3A" w:rsidRDefault="00395364">
            <w:pPr>
              <w:spacing w:after="0" w:line="259" w:lineRule="auto"/>
              <w:ind w:left="0" w:firstLine="0"/>
            </w:pPr>
            <w:r>
              <w:rPr>
                <w:b/>
              </w:rPr>
              <w:t xml:space="preserve">Public service vehicles (seating up to 8 passengers) </w:t>
            </w:r>
          </w:p>
        </w:tc>
        <w:tc>
          <w:tcPr>
            <w:tcW w:w="1804" w:type="dxa"/>
            <w:tcBorders>
              <w:top w:val="single" w:sz="4" w:space="0" w:color="82D1F1"/>
              <w:left w:val="single" w:sz="4" w:space="0" w:color="82D1F1"/>
              <w:bottom w:val="single" w:sz="4" w:space="0" w:color="82D1F1"/>
              <w:right w:val="single" w:sz="4" w:space="0" w:color="82D1F1"/>
            </w:tcBorders>
          </w:tcPr>
          <w:p w14:paraId="327D31B6" w14:textId="77777777" w:rsidR="00F50D3A" w:rsidRDefault="00395364">
            <w:pPr>
              <w:spacing w:after="0" w:line="259" w:lineRule="auto"/>
              <w:ind w:left="1" w:firstLine="0"/>
            </w:pPr>
            <w:r>
              <w:t xml:space="preserve">Class 3  </w:t>
            </w:r>
          </w:p>
        </w:tc>
        <w:tc>
          <w:tcPr>
            <w:tcW w:w="1804" w:type="dxa"/>
            <w:tcBorders>
              <w:top w:val="single" w:sz="4" w:space="0" w:color="82D1F1"/>
              <w:left w:val="single" w:sz="4" w:space="0" w:color="82D1F1"/>
              <w:bottom w:val="single" w:sz="4" w:space="0" w:color="82D1F1"/>
              <w:right w:val="single" w:sz="4" w:space="0" w:color="82D1F1"/>
            </w:tcBorders>
          </w:tcPr>
          <w:p w14:paraId="07E8EDB6" w14:textId="77777777" w:rsidR="00F50D3A" w:rsidRDefault="00395364">
            <w:pPr>
              <w:spacing w:after="0" w:line="259" w:lineRule="auto"/>
              <w:ind w:left="2" w:firstLine="0"/>
            </w:pPr>
            <w:r>
              <w:t xml:space="preserve">€2.10 </w:t>
            </w:r>
          </w:p>
        </w:tc>
        <w:tc>
          <w:tcPr>
            <w:tcW w:w="1804" w:type="dxa"/>
            <w:tcBorders>
              <w:top w:val="single" w:sz="4" w:space="0" w:color="82D1F1"/>
              <w:left w:val="single" w:sz="4" w:space="0" w:color="82D1F1"/>
              <w:bottom w:val="single" w:sz="4" w:space="0" w:color="82D1F1"/>
              <w:right w:val="single" w:sz="4" w:space="0" w:color="82D1F1"/>
            </w:tcBorders>
          </w:tcPr>
          <w:p w14:paraId="0DF40363" w14:textId="77777777" w:rsidR="00F50D3A" w:rsidRDefault="00395364">
            <w:pPr>
              <w:spacing w:after="0" w:line="259" w:lineRule="auto"/>
              <w:ind w:left="1" w:firstLine="0"/>
            </w:pPr>
            <w:r>
              <w:t xml:space="preserve">€2.60 </w:t>
            </w:r>
          </w:p>
        </w:tc>
        <w:tc>
          <w:tcPr>
            <w:tcW w:w="1802" w:type="dxa"/>
            <w:tcBorders>
              <w:top w:val="single" w:sz="4" w:space="0" w:color="82D1F1"/>
              <w:left w:val="single" w:sz="4" w:space="0" w:color="82D1F1"/>
              <w:bottom w:val="single" w:sz="4" w:space="0" w:color="82D1F1"/>
              <w:right w:val="single" w:sz="4" w:space="0" w:color="82D1F1"/>
            </w:tcBorders>
          </w:tcPr>
          <w:p w14:paraId="65329D24" w14:textId="77777777" w:rsidR="00F50D3A" w:rsidRDefault="00395364">
            <w:pPr>
              <w:spacing w:after="0" w:line="259" w:lineRule="auto"/>
              <w:ind w:left="0" w:firstLine="0"/>
            </w:pPr>
            <w:r>
              <w:t xml:space="preserve">€3.10 </w:t>
            </w:r>
          </w:p>
        </w:tc>
      </w:tr>
      <w:tr w:rsidR="00F50D3A" w14:paraId="31687D0F" w14:textId="77777777">
        <w:trPr>
          <w:trHeight w:val="1318"/>
        </w:trPr>
        <w:tc>
          <w:tcPr>
            <w:tcW w:w="1801" w:type="dxa"/>
            <w:tcBorders>
              <w:top w:val="single" w:sz="4" w:space="0" w:color="82D1F1"/>
              <w:left w:val="single" w:sz="4" w:space="0" w:color="82D1F1"/>
              <w:bottom w:val="single" w:sz="4" w:space="0" w:color="82D1F1"/>
              <w:right w:val="single" w:sz="4" w:space="0" w:color="82D1F1"/>
            </w:tcBorders>
            <w:shd w:val="clear" w:color="auto" w:fill="D5EFFA"/>
            <w:vAlign w:val="bottom"/>
          </w:tcPr>
          <w:p w14:paraId="203CBF69" w14:textId="77777777" w:rsidR="00F50D3A" w:rsidRDefault="00395364">
            <w:pPr>
              <w:spacing w:after="0" w:line="259" w:lineRule="auto"/>
              <w:ind w:left="0" w:firstLine="0"/>
            </w:pPr>
            <w:r>
              <w:rPr>
                <w:b/>
              </w:rPr>
              <w:t xml:space="preserve">Buses or coaches (seating more than 8 passengers) </w:t>
            </w:r>
          </w:p>
        </w:tc>
        <w:tc>
          <w:tcPr>
            <w:tcW w:w="1804" w:type="dxa"/>
            <w:tcBorders>
              <w:top w:val="single" w:sz="4" w:space="0" w:color="82D1F1"/>
              <w:left w:val="single" w:sz="4" w:space="0" w:color="82D1F1"/>
              <w:bottom w:val="single" w:sz="4" w:space="0" w:color="82D1F1"/>
              <w:right w:val="single" w:sz="4" w:space="0" w:color="82D1F1"/>
            </w:tcBorders>
            <w:shd w:val="clear" w:color="auto" w:fill="D5EFFA"/>
          </w:tcPr>
          <w:p w14:paraId="5587DCE2" w14:textId="77777777" w:rsidR="00F50D3A" w:rsidRDefault="00395364">
            <w:pPr>
              <w:spacing w:after="0" w:line="259" w:lineRule="auto"/>
              <w:ind w:left="1" w:firstLine="0"/>
            </w:pPr>
            <w:r>
              <w:t xml:space="preserve">Class 4 </w:t>
            </w:r>
          </w:p>
        </w:tc>
        <w:tc>
          <w:tcPr>
            <w:tcW w:w="1804" w:type="dxa"/>
            <w:tcBorders>
              <w:top w:val="single" w:sz="4" w:space="0" w:color="82D1F1"/>
              <w:left w:val="single" w:sz="4" w:space="0" w:color="82D1F1"/>
              <w:bottom w:val="single" w:sz="4" w:space="0" w:color="82D1F1"/>
              <w:right w:val="single" w:sz="4" w:space="0" w:color="82D1F1"/>
            </w:tcBorders>
            <w:shd w:val="clear" w:color="auto" w:fill="D5EFFA"/>
          </w:tcPr>
          <w:p w14:paraId="5831BDB7" w14:textId="77777777" w:rsidR="00F50D3A" w:rsidRDefault="00395364">
            <w:pPr>
              <w:spacing w:after="0" w:line="259" w:lineRule="auto"/>
              <w:ind w:left="2" w:firstLine="0"/>
            </w:pPr>
            <w:r>
              <w:t xml:space="preserve">€2.90 </w:t>
            </w:r>
          </w:p>
        </w:tc>
        <w:tc>
          <w:tcPr>
            <w:tcW w:w="1804" w:type="dxa"/>
            <w:tcBorders>
              <w:top w:val="single" w:sz="4" w:space="0" w:color="82D1F1"/>
              <w:left w:val="single" w:sz="4" w:space="0" w:color="82D1F1"/>
              <w:bottom w:val="single" w:sz="4" w:space="0" w:color="82D1F1"/>
              <w:right w:val="single" w:sz="4" w:space="0" w:color="82D1F1"/>
            </w:tcBorders>
            <w:shd w:val="clear" w:color="auto" w:fill="D5EFFA"/>
          </w:tcPr>
          <w:p w14:paraId="0747F9BD" w14:textId="77777777" w:rsidR="00F50D3A" w:rsidRDefault="00395364">
            <w:pPr>
              <w:spacing w:after="0" w:line="259" w:lineRule="auto"/>
              <w:ind w:left="1" w:firstLine="0"/>
            </w:pPr>
            <w:r>
              <w:t xml:space="preserve">€3.50 </w:t>
            </w:r>
          </w:p>
        </w:tc>
        <w:tc>
          <w:tcPr>
            <w:tcW w:w="1802" w:type="dxa"/>
            <w:tcBorders>
              <w:top w:val="single" w:sz="4" w:space="0" w:color="82D1F1"/>
              <w:left w:val="single" w:sz="4" w:space="0" w:color="82D1F1"/>
              <w:bottom w:val="single" w:sz="4" w:space="0" w:color="82D1F1"/>
              <w:right w:val="single" w:sz="4" w:space="0" w:color="82D1F1"/>
            </w:tcBorders>
            <w:shd w:val="clear" w:color="auto" w:fill="D5EFFA"/>
          </w:tcPr>
          <w:p w14:paraId="6F447C7B" w14:textId="77777777" w:rsidR="00F50D3A" w:rsidRDefault="00395364">
            <w:pPr>
              <w:spacing w:after="0" w:line="259" w:lineRule="auto"/>
              <w:ind w:left="0" w:firstLine="0"/>
            </w:pPr>
            <w:r>
              <w:t xml:space="preserve">€4.00 </w:t>
            </w:r>
          </w:p>
        </w:tc>
      </w:tr>
      <w:tr w:rsidR="00F50D3A" w14:paraId="72B4E5CB" w14:textId="77777777">
        <w:trPr>
          <w:trHeight w:val="1322"/>
        </w:trPr>
        <w:tc>
          <w:tcPr>
            <w:tcW w:w="1801" w:type="dxa"/>
            <w:tcBorders>
              <w:top w:val="single" w:sz="4" w:space="0" w:color="82D1F1"/>
              <w:left w:val="single" w:sz="4" w:space="0" w:color="82D1F1"/>
              <w:bottom w:val="single" w:sz="4" w:space="0" w:color="82D1F1"/>
              <w:right w:val="single" w:sz="4" w:space="0" w:color="82D1F1"/>
            </w:tcBorders>
            <w:vAlign w:val="bottom"/>
          </w:tcPr>
          <w:p w14:paraId="10928464" w14:textId="77777777" w:rsidR="00F50D3A" w:rsidRDefault="00395364">
            <w:pPr>
              <w:spacing w:after="0" w:line="244" w:lineRule="auto"/>
              <w:ind w:left="0" w:firstLine="0"/>
            </w:pPr>
            <w:r>
              <w:rPr>
                <w:b/>
              </w:rPr>
              <w:t xml:space="preserve">Light goods vehicles </w:t>
            </w:r>
          </w:p>
          <w:p w14:paraId="5FED9EEF" w14:textId="77777777" w:rsidR="00F50D3A" w:rsidRDefault="00395364">
            <w:pPr>
              <w:spacing w:after="0" w:line="259" w:lineRule="auto"/>
              <w:ind w:left="0" w:firstLine="0"/>
              <w:jc w:val="both"/>
            </w:pPr>
            <w:r>
              <w:rPr>
                <w:b/>
              </w:rPr>
              <w:t xml:space="preserve">(unladen weight under 2,000 kg) </w:t>
            </w:r>
          </w:p>
        </w:tc>
        <w:tc>
          <w:tcPr>
            <w:tcW w:w="1804" w:type="dxa"/>
            <w:tcBorders>
              <w:top w:val="single" w:sz="4" w:space="0" w:color="82D1F1"/>
              <w:left w:val="single" w:sz="4" w:space="0" w:color="82D1F1"/>
              <w:bottom w:val="single" w:sz="4" w:space="0" w:color="82D1F1"/>
              <w:right w:val="single" w:sz="4" w:space="0" w:color="82D1F1"/>
            </w:tcBorders>
          </w:tcPr>
          <w:p w14:paraId="39F70FEA" w14:textId="77777777" w:rsidR="00F50D3A" w:rsidRDefault="00395364">
            <w:pPr>
              <w:spacing w:after="0" w:line="259" w:lineRule="auto"/>
              <w:ind w:left="1" w:firstLine="0"/>
            </w:pPr>
            <w:r>
              <w:t xml:space="preserve">Class 4  </w:t>
            </w:r>
          </w:p>
        </w:tc>
        <w:tc>
          <w:tcPr>
            <w:tcW w:w="1804" w:type="dxa"/>
            <w:tcBorders>
              <w:top w:val="single" w:sz="4" w:space="0" w:color="82D1F1"/>
              <w:left w:val="single" w:sz="4" w:space="0" w:color="82D1F1"/>
              <w:bottom w:val="single" w:sz="4" w:space="0" w:color="82D1F1"/>
              <w:right w:val="single" w:sz="4" w:space="0" w:color="82D1F1"/>
            </w:tcBorders>
          </w:tcPr>
          <w:p w14:paraId="562A5CB9" w14:textId="77777777" w:rsidR="00F50D3A" w:rsidRDefault="00395364">
            <w:pPr>
              <w:spacing w:after="0" w:line="259" w:lineRule="auto"/>
              <w:ind w:left="2" w:firstLine="0"/>
            </w:pPr>
            <w:r>
              <w:t xml:space="preserve">€2.90 </w:t>
            </w:r>
          </w:p>
        </w:tc>
        <w:tc>
          <w:tcPr>
            <w:tcW w:w="1804" w:type="dxa"/>
            <w:tcBorders>
              <w:top w:val="single" w:sz="4" w:space="0" w:color="82D1F1"/>
              <w:left w:val="single" w:sz="4" w:space="0" w:color="82D1F1"/>
              <w:bottom w:val="single" w:sz="4" w:space="0" w:color="82D1F1"/>
              <w:right w:val="single" w:sz="4" w:space="0" w:color="82D1F1"/>
            </w:tcBorders>
          </w:tcPr>
          <w:p w14:paraId="32340172" w14:textId="77777777" w:rsidR="00F50D3A" w:rsidRDefault="00395364">
            <w:pPr>
              <w:spacing w:after="0" w:line="259" w:lineRule="auto"/>
              <w:ind w:left="1" w:firstLine="0"/>
            </w:pPr>
            <w:r>
              <w:t xml:space="preserve">€3.50 </w:t>
            </w:r>
          </w:p>
        </w:tc>
        <w:tc>
          <w:tcPr>
            <w:tcW w:w="1802" w:type="dxa"/>
            <w:tcBorders>
              <w:top w:val="single" w:sz="4" w:space="0" w:color="82D1F1"/>
              <w:left w:val="single" w:sz="4" w:space="0" w:color="82D1F1"/>
              <w:bottom w:val="single" w:sz="4" w:space="0" w:color="82D1F1"/>
              <w:right w:val="single" w:sz="4" w:space="0" w:color="82D1F1"/>
            </w:tcBorders>
          </w:tcPr>
          <w:p w14:paraId="10283CE5" w14:textId="77777777" w:rsidR="00F50D3A" w:rsidRDefault="00395364">
            <w:pPr>
              <w:spacing w:after="0" w:line="259" w:lineRule="auto"/>
              <w:ind w:left="0" w:firstLine="0"/>
            </w:pPr>
            <w:r>
              <w:t xml:space="preserve">€4.00 </w:t>
            </w:r>
          </w:p>
        </w:tc>
      </w:tr>
      <w:tr w:rsidR="00F50D3A" w14:paraId="6534F6A3" w14:textId="77777777">
        <w:trPr>
          <w:trHeight w:val="1318"/>
        </w:trPr>
        <w:tc>
          <w:tcPr>
            <w:tcW w:w="1801" w:type="dxa"/>
            <w:tcBorders>
              <w:top w:val="single" w:sz="4" w:space="0" w:color="82D1F1"/>
              <w:left w:val="single" w:sz="4" w:space="0" w:color="82D1F1"/>
              <w:bottom w:val="single" w:sz="4" w:space="0" w:color="82D1F1"/>
              <w:right w:val="single" w:sz="4" w:space="0" w:color="82D1F1"/>
            </w:tcBorders>
            <w:shd w:val="clear" w:color="auto" w:fill="D5EFFA"/>
            <w:vAlign w:val="bottom"/>
          </w:tcPr>
          <w:p w14:paraId="20E09D53" w14:textId="77777777" w:rsidR="00F50D3A" w:rsidRDefault="00395364">
            <w:pPr>
              <w:spacing w:after="0" w:line="259" w:lineRule="auto"/>
              <w:ind w:left="0" w:firstLine="0"/>
            </w:pPr>
            <w:r>
              <w:rPr>
                <w:b/>
              </w:rPr>
              <w:t xml:space="preserve">Goods vehicles </w:t>
            </w:r>
          </w:p>
          <w:p w14:paraId="6400474D" w14:textId="77777777" w:rsidR="00F50D3A" w:rsidRDefault="00395364">
            <w:pPr>
              <w:spacing w:after="0" w:line="259" w:lineRule="auto"/>
              <w:ind w:left="0" w:firstLine="0"/>
            </w:pPr>
            <w:r>
              <w:rPr>
                <w:b/>
              </w:rPr>
              <w:t xml:space="preserve">(unladen weight 2,000 to 10,000 kg) </w:t>
            </w:r>
          </w:p>
        </w:tc>
        <w:tc>
          <w:tcPr>
            <w:tcW w:w="1804" w:type="dxa"/>
            <w:tcBorders>
              <w:top w:val="single" w:sz="4" w:space="0" w:color="82D1F1"/>
              <w:left w:val="single" w:sz="4" w:space="0" w:color="82D1F1"/>
              <w:bottom w:val="single" w:sz="4" w:space="0" w:color="82D1F1"/>
              <w:right w:val="single" w:sz="4" w:space="0" w:color="82D1F1"/>
            </w:tcBorders>
            <w:shd w:val="clear" w:color="auto" w:fill="D5EFFA"/>
          </w:tcPr>
          <w:p w14:paraId="79BC401E" w14:textId="77777777" w:rsidR="00F50D3A" w:rsidRDefault="00395364">
            <w:pPr>
              <w:spacing w:after="0" w:line="259" w:lineRule="auto"/>
              <w:ind w:left="1" w:firstLine="0"/>
            </w:pPr>
            <w:r>
              <w:t xml:space="preserve">Class 5  </w:t>
            </w:r>
          </w:p>
        </w:tc>
        <w:tc>
          <w:tcPr>
            <w:tcW w:w="1804" w:type="dxa"/>
            <w:tcBorders>
              <w:top w:val="single" w:sz="4" w:space="0" w:color="82D1F1"/>
              <w:left w:val="single" w:sz="4" w:space="0" w:color="82D1F1"/>
              <w:bottom w:val="single" w:sz="4" w:space="0" w:color="82D1F1"/>
              <w:right w:val="single" w:sz="4" w:space="0" w:color="82D1F1"/>
            </w:tcBorders>
            <w:shd w:val="clear" w:color="auto" w:fill="D5EFFA"/>
          </w:tcPr>
          <w:p w14:paraId="45F4B55C" w14:textId="77777777" w:rsidR="00F50D3A" w:rsidRDefault="00395364">
            <w:pPr>
              <w:spacing w:after="0" w:line="259" w:lineRule="auto"/>
              <w:ind w:left="2" w:firstLine="0"/>
            </w:pPr>
            <w:r>
              <w:t xml:space="preserve">€4.30 </w:t>
            </w:r>
          </w:p>
        </w:tc>
        <w:tc>
          <w:tcPr>
            <w:tcW w:w="1804" w:type="dxa"/>
            <w:tcBorders>
              <w:top w:val="single" w:sz="4" w:space="0" w:color="82D1F1"/>
              <w:left w:val="single" w:sz="4" w:space="0" w:color="82D1F1"/>
              <w:bottom w:val="single" w:sz="4" w:space="0" w:color="82D1F1"/>
              <w:right w:val="single" w:sz="4" w:space="0" w:color="82D1F1"/>
            </w:tcBorders>
            <w:shd w:val="clear" w:color="auto" w:fill="D5EFFA"/>
          </w:tcPr>
          <w:p w14:paraId="57DE6B01" w14:textId="77777777" w:rsidR="00F50D3A" w:rsidRDefault="00395364">
            <w:pPr>
              <w:spacing w:after="0" w:line="259" w:lineRule="auto"/>
              <w:ind w:left="1" w:firstLine="0"/>
            </w:pPr>
            <w:r>
              <w:t xml:space="preserve">€4.80 </w:t>
            </w:r>
          </w:p>
        </w:tc>
        <w:tc>
          <w:tcPr>
            <w:tcW w:w="1802" w:type="dxa"/>
            <w:tcBorders>
              <w:top w:val="single" w:sz="4" w:space="0" w:color="82D1F1"/>
              <w:left w:val="single" w:sz="4" w:space="0" w:color="82D1F1"/>
              <w:bottom w:val="single" w:sz="4" w:space="0" w:color="82D1F1"/>
              <w:right w:val="single" w:sz="4" w:space="0" w:color="82D1F1"/>
            </w:tcBorders>
            <w:shd w:val="clear" w:color="auto" w:fill="D5EFFA"/>
          </w:tcPr>
          <w:p w14:paraId="0ABBE460" w14:textId="77777777" w:rsidR="00F50D3A" w:rsidRDefault="00395364">
            <w:pPr>
              <w:spacing w:after="0" w:line="259" w:lineRule="auto"/>
              <w:ind w:left="0" w:firstLine="0"/>
            </w:pPr>
            <w:r>
              <w:t xml:space="preserve">€5.30 </w:t>
            </w:r>
          </w:p>
        </w:tc>
      </w:tr>
      <w:tr w:rsidR="00F50D3A" w14:paraId="28A3F441" w14:textId="77777777">
        <w:trPr>
          <w:trHeight w:val="1320"/>
        </w:trPr>
        <w:tc>
          <w:tcPr>
            <w:tcW w:w="1801" w:type="dxa"/>
            <w:tcBorders>
              <w:top w:val="single" w:sz="4" w:space="0" w:color="82D1F1"/>
              <w:left w:val="single" w:sz="4" w:space="0" w:color="82D1F1"/>
              <w:bottom w:val="single" w:sz="4" w:space="0" w:color="82D1F1"/>
              <w:right w:val="single" w:sz="4" w:space="0" w:color="82D1F1"/>
            </w:tcBorders>
            <w:vAlign w:val="bottom"/>
          </w:tcPr>
          <w:p w14:paraId="3BE6BB29" w14:textId="77777777" w:rsidR="00F50D3A" w:rsidRDefault="00395364">
            <w:pPr>
              <w:spacing w:after="0" w:line="244" w:lineRule="auto"/>
              <w:ind w:left="0" w:firstLine="0"/>
            </w:pPr>
            <w:r>
              <w:rPr>
                <w:b/>
              </w:rPr>
              <w:t xml:space="preserve">Heavy goods vehicles </w:t>
            </w:r>
          </w:p>
          <w:p w14:paraId="1DA6D59C" w14:textId="77777777" w:rsidR="00F50D3A" w:rsidRDefault="00395364">
            <w:pPr>
              <w:spacing w:after="0" w:line="259" w:lineRule="auto"/>
              <w:ind w:left="0" w:firstLine="0"/>
              <w:jc w:val="both"/>
            </w:pPr>
            <w:r>
              <w:rPr>
                <w:b/>
              </w:rPr>
              <w:t xml:space="preserve">(unladen weight over 10,000 kg) </w:t>
            </w:r>
          </w:p>
        </w:tc>
        <w:tc>
          <w:tcPr>
            <w:tcW w:w="1804" w:type="dxa"/>
            <w:tcBorders>
              <w:top w:val="single" w:sz="4" w:space="0" w:color="82D1F1"/>
              <w:left w:val="single" w:sz="4" w:space="0" w:color="82D1F1"/>
              <w:bottom w:val="single" w:sz="4" w:space="0" w:color="82D1F1"/>
              <w:right w:val="single" w:sz="4" w:space="0" w:color="82D1F1"/>
            </w:tcBorders>
          </w:tcPr>
          <w:p w14:paraId="245D809D" w14:textId="77777777" w:rsidR="00F50D3A" w:rsidRDefault="00395364">
            <w:pPr>
              <w:spacing w:after="0" w:line="259" w:lineRule="auto"/>
              <w:ind w:left="1" w:firstLine="0"/>
            </w:pPr>
            <w:r>
              <w:t xml:space="preserve">Class 6  </w:t>
            </w:r>
          </w:p>
        </w:tc>
        <w:tc>
          <w:tcPr>
            <w:tcW w:w="1804" w:type="dxa"/>
            <w:tcBorders>
              <w:top w:val="single" w:sz="4" w:space="0" w:color="82D1F1"/>
              <w:left w:val="single" w:sz="4" w:space="0" w:color="82D1F1"/>
              <w:bottom w:val="single" w:sz="4" w:space="0" w:color="82D1F1"/>
              <w:right w:val="single" w:sz="4" w:space="0" w:color="82D1F1"/>
            </w:tcBorders>
          </w:tcPr>
          <w:p w14:paraId="321BD0B1" w14:textId="77777777" w:rsidR="00F50D3A" w:rsidRDefault="00395364">
            <w:pPr>
              <w:spacing w:after="0" w:line="259" w:lineRule="auto"/>
              <w:ind w:left="2" w:firstLine="0"/>
            </w:pPr>
            <w:r>
              <w:t xml:space="preserve">€5.30 </w:t>
            </w:r>
          </w:p>
        </w:tc>
        <w:tc>
          <w:tcPr>
            <w:tcW w:w="1804" w:type="dxa"/>
            <w:tcBorders>
              <w:top w:val="single" w:sz="4" w:space="0" w:color="82D1F1"/>
              <w:left w:val="single" w:sz="4" w:space="0" w:color="82D1F1"/>
              <w:bottom w:val="single" w:sz="4" w:space="0" w:color="82D1F1"/>
              <w:right w:val="single" w:sz="4" w:space="0" w:color="82D1F1"/>
            </w:tcBorders>
          </w:tcPr>
          <w:p w14:paraId="7021DEFB" w14:textId="77777777" w:rsidR="00F50D3A" w:rsidRDefault="00395364">
            <w:pPr>
              <w:spacing w:after="0" w:line="259" w:lineRule="auto"/>
              <w:ind w:left="1" w:firstLine="0"/>
            </w:pPr>
            <w:r>
              <w:t xml:space="preserve">€5.90 </w:t>
            </w:r>
          </w:p>
        </w:tc>
        <w:tc>
          <w:tcPr>
            <w:tcW w:w="1802" w:type="dxa"/>
            <w:tcBorders>
              <w:top w:val="single" w:sz="4" w:space="0" w:color="82D1F1"/>
              <w:left w:val="single" w:sz="4" w:space="0" w:color="82D1F1"/>
              <w:bottom w:val="single" w:sz="4" w:space="0" w:color="82D1F1"/>
              <w:right w:val="single" w:sz="4" w:space="0" w:color="82D1F1"/>
            </w:tcBorders>
          </w:tcPr>
          <w:p w14:paraId="5E74245D" w14:textId="77777777" w:rsidR="00F50D3A" w:rsidRDefault="00395364">
            <w:pPr>
              <w:spacing w:after="0" w:line="259" w:lineRule="auto"/>
              <w:ind w:left="0" w:firstLine="0"/>
            </w:pPr>
            <w:r>
              <w:t xml:space="preserve">€6.40 </w:t>
            </w:r>
          </w:p>
        </w:tc>
      </w:tr>
      <w:tr w:rsidR="00F50D3A" w14:paraId="1E805B85" w14:textId="77777777">
        <w:trPr>
          <w:trHeight w:val="1020"/>
        </w:trPr>
        <w:tc>
          <w:tcPr>
            <w:tcW w:w="1801" w:type="dxa"/>
            <w:tcBorders>
              <w:top w:val="single" w:sz="4" w:space="0" w:color="82D1F1"/>
              <w:left w:val="single" w:sz="4" w:space="0" w:color="82D1F1"/>
              <w:bottom w:val="single" w:sz="4" w:space="0" w:color="82D1F1"/>
              <w:right w:val="single" w:sz="4" w:space="0" w:color="82D1F1"/>
            </w:tcBorders>
            <w:shd w:val="clear" w:color="auto" w:fill="D5EFFA"/>
            <w:vAlign w:val="bottom"/>
          </w:tcPr>
          <w:p w14:paraId="34DE2DBE" w14:textId="77777777" w:rsidR="00F50D3A" w:rsidRDefault="00395364">
            <w:pPr>
              <w:spacing w:after="0" w:line="259" w:lineRule="auto"/>
              <w:ind w:left="0" w:firstLine="0"/>
            </w:pPr>
            <w:r>
              <w:rPr>
                <w:b/>
              </w:rPr>
              <w:t xml:space="preserve">Tractor units for articulated vehicles </w:t>
            </w:r>
          </w:p>
        </w:tc>
        <w:tc>
          <w:tcPr>
            <w:tcW w:w="1804" w:type="dxa"/>
            <w:tcBorders>
              <w:top w:val="single" w:sz="4" w:space="0" w:color="82D1F1"/>
              <w:left w:val="single" w:sz="4" w:space="0" w:color="82D1F1"/>
              <w:bottom w:val="single" w:sz="4" w:space="0" w:color="82D1F1"/>
              <w:right w:val="single" w:sz="4" w:space="0" w:color="82D1F1"/>
            </w:tcBorders>
            <w:shd w:val="clear" w:color="auto" w:fill="D5EFFA"/>
          </w:tcPr>
          <w:p w14:paraId="4A8D9A7B" w14:textId="77777777" w:rsidR="00F50D3A" w:rsidRDefault="00395364">
            <w:pPr>
              <w:spacing w:after="0" w:line="259" w:lineRule="auto"/>
              <w:ind w:left="1" w:firstLine="0"/>
            </w:pPr>
            <w:r>
              <w:t xml:space="preserve">Class 6  </w:t>
            </w:r>
          </w:p>
        </w:tc>
        <w:tc>
          <w:tcPr>
            <w:tcW w:w="1804" w:type="dxa"/>
            <w:tcBorders>
              <w:top w:val="single" w:sz="4" w:space="0" w:color="82D1F1"/>
              <w:left w:val="single" w:sz="4" w:space="0" w:color="82D1F1"/>
              <w:bottom w:val="single" w:sz="4" w:space="0" w:color="82D1F1"/>
              <w:right w:val="single" w:sz="4" w:space="0" w:color="82D1F1"/>
            </w:tcBorders>
            <w:shd w:val="clear" w:color="auto" w:fill="D5EFFA"/>
          </w:tcPr>
          <w:p w14:paraId="356C2CF6" w14:textId="77777777" w:rsidR="00F50D3A" w:rsidRDefault="00395364">
            <w:pPr>
              <w:spacing w:after="0" w:line="259" w:lineRule="auto"/>
              <w:ind w:left="2" w:firstLine="0"/>
            </w:pPr>
            <w:r>
              <w:t xml:space="preserve">€5.30 </w:t>
            </w:r>
          </w:p>
        </w:tc>
        <w:tc>
          <w:tcPr>
            <w:tcW w:w="1804" w:type="dxa"/>
            <w:tcBorders>
              <w:top w:val="single" w:sz="4" w:space="0" w:color="82D1F1"/>
              <w:left w:val="single" w:sz="4" w:space="0" w:color="82D1F1"/>
              <w:bottom w:val="single" w:sz="4" w:space="0" w:color="82D1F1"/>
              <w:right w:val="single" w:sz="4" w:space="0" w:color="82D1F1"/>
            </w:tcBorders>
            <w:shd w:val="clear" w:color="auto" w:fill="D5EFFA"/>
          </w:tcPr>
          <w:p w14:paraId="1205AFC3" w14:textId="77777777" w:rsidR="00F50D3A" w:rsidRDefault="00395364">
            <w:pPr>
              <w:spacing w:after="0" w:line="259" w:lineRule="auto"/>
              <w:ind w:left="1" w:firstLine="0"/>
            </w:pPr>
            <w:r>
              <w:t xml:space="preserve">€5.90 </w:t>
            </w:r>
          </w:p>
        </w:tc>
        <w:tc>
          <w:tcPr>
            <w:tcW w:w="1802" w:type="dxa"/>
            <w:tcBorders>
              <w:top w:val="single" w:sz="4" w:space="0" w:color="82D1F1"/>
              <w:left w:val="single" w:sz="4" w:space="0" w:color="82D1F1"/>
              <w:bottom w:val="single" w:sz="4" w:space="0" w:color="82D1F1"/>
              <w:right w:val="single" w:sz="4" w:space="0" w:color="82D1F1"/>
            </w:tcBorders>
            <w:shd w:val="clear" w:color="auto" w:fill="D5EFFA"/>
          </w:tcPr>
          <w:p w14:paraId="7F348FDF" w14:textId="77777777" w:rsidR="00F50D3A" w:rsidRDefault="00395364">
            <w:pPr>
              <w:spacing w:after="0" w:line="259" w:lineRule="auto"/>
              <w:ind w:left="0" w:firstLine="0"/>
            </w:pPr>
            <w:r>
              <w:t xml:space="preserve">€6.40 </w:t>
            </w:r>
          </w:p>
        </w:tc>
      </w:tr>
    </w:tbl>
    <w:p w14:paraId="3D43BA62" w14:textId="77777777" w:rsidR="00F50D3A" w:rsidRDefault="00395364">
      <w:pPr>
        <w:spacing w:after="0" w:line="259" w:lineRule="auto"/>
        <w:ind w:left="0" w:firstLine="0"/>
      </w:pPr>
      <w:r>
        <w:t xml:space="preserve"> </w:t>
      </w:r>
    </w:p>
    <w:p w14:paraId="6A521CDD" w14:textId="77777777" w:rsidR="00F50D3A" w:rsidRDefault="00395364">
      <w:pPr>
        <w:spacing w:after="33" w:line="226" w:lineRule="auto"/>
        <w:ind w:left="-5"/>
      </w:pPr>
      <w:r>
        <w:t xml:space="preserve">2.1.6  </w:t>
      </w:r>
      <w:r>
        <w:rPr>
          <w:color w:val="1A232A"/>
        </w:rPr>
        <w:t xml:space="preserve">Eligibility and exemptions </w:t>
      </w:r>
    </w:p>
    <w:p w14:paraId="6B2A2D43" w14:textId="77777777" w:rsidR="00F50D3A" w:rsidRDefault="00395364">
      <w:pPr>
        <w:spacing w:after="0" w:line="259" w:lineRule="auto"/>
        <w:ind w:left="0" w:firstLine="0"/>
      </w:pPr>
      <w:r>
        <w:t xml:space="preserve"> </w:t>
      </w:r>
    </w:p>
    <w:p w14:paraId="4C176185" w14:textId="77777777" w:rsidR="00F50D3A" w:rsidRDefault="00395364">
      <w:pPr>
        <w:ind w:left="-5"/>
      </w:pPr>
      <w:r>
        <w:t xml:space="preserve">All the vehicles are subject to toll payment except the following categories explicitly specified below:  </w:t>
      </w:r>
    </w:p>
    <w:p w14:paraId="380500A9" w14:textId="77777777" w:rsidR="00F50D3A" w:rsidRDefault="00395364">
      <w:pPr>
        <w:spacing w:after="0" w:line="259" w:lineRule="auto"/>
        <w:ind w:left="0" w:firstLine="0"/>
      </w:pPr>
      <w:r>
        <w:t xml:space="preserve"> </w:t>
      </w:r>
    </w:p>
    <w:p w14:paraId="32F728F7" w14:textId="77777777" w:rsidR="00F50D3A" w:rsidRDefault="00395364">
      <w:pPr>
        <w:numPr>
          <w:ilvl w:val="0"/>
          <w:numId w:val="3"/>
        </w:numPr>
        <w:ind w:hanging="360"/>
      </w:pPr>
      <w:r>
        <w:t xml:space="preserve">Motor Cycles. </w:t>
      </w:r>
    </w:p>
    <w:p w14:paraId="4EEB4FD7" w14:textId="77777777" w:rsidR="00F50D3A" w:rsidRDefault="00395364">
      <w:pPr>
        <w:numPr>
          <w:ilvl w:val="0"/>
          <w:numId w:val="3"/>
        </w:numPr>
        <w:ind w:hanging="360"/>
      </w:pPr>
      <w:r>
        <w:t xml:space="preserve">Ambulances and Fire Brigade Vehicles. </w:t>
      </w:r>
    </w:p>
    <w:p w14:paraId="3462C937" w14:textId="77777777" w:rsidR="00F50D3A" w:rsidRDefault="00395364">
      <w:pPr>
        <w:numPr>
          <w:ilvl w:val="0"/>
          <w:numId w:val="3"/>
        </w:numPr>
        <w:ind w:hanging="360"/>
      </w:pPr>
      <w:r>
        <w:t xml:space="preserve">Vehicles used by members of the Garda Síochána or Defence Forces in the performance of their duties as such members.  </w:t>
      </w:r>
    </w:p>
    <w:p w14:paraId="4CCE2237" w14:textId="77777777" w:rsidR="00F50D3A" w:rsidRDefault="00395364">
      <w:pPr>
        <w:numPr>
          <w:ilvl w:val="0"/>
          <w:numId w:val="3"/>
        </w:numPr>
        <w:ind w:hanging="360"/>
      </w:pPr>
      <w:r>
        <w:lastRenderedPageBreak/>
        <w:t xml:space="preserve">South Dublin County Council’s Goods Vehicles used in the performance of the functions and duties of South Dublin County Council.  </w:t>
      </w:r>
    </w:p>
    <w:p w14:paraId="1B036CA7" w14:textId="77777777" w:rsidR="00F50D3A" w:rsidRDefault="00395364">
      <w:pPr>
        <w:numPr>
          <w:ilvl w:val="0"/>
          <w:numId w:val="3"/>
        </w:numPr>
        <w:ind w:hanging="360"/>
      </w:pPr>
      <w:r>
        <w:t xml:space="preserve">Fingal County Council’s Goods Vehicles used in the performance of the functions and duties of Fingal County Council.  </w:t>
      </w:r>
    </w:p>
    <w:p w14:paraId="6D6BFFE2" w14:textId="77777777" w:rsidR="00F50D3A" w:rsidRDefault="00395364">
      <w:pPr>
        <w:numPr>
          <w:ilvl w:val="0"/>
          <w:numId w:val="3"/>
        </w:numPr>
        <w:ind w:hanging="360"/>
      </w:pPr>
      <w:r>
        <w:t xml:space="preserve">Vehicles used by the Road Operator, or any person appointed to operate and maintain the M50 Motorway, in the performance of duties in relation to the M50 Motorway.  </w:t>
      </w:r>
    </w:p>
    <w:p w14:paraId="63446A4D" w14:textId="77777777" w:rsidR="00F50D3A" w:rsidRDefault="00395364">
      <w:pPr>
        <w:numPr>
          <w:ilvl w:val="0"/>
          <w:numId w:val="3"/>
        </w:numPr>
        <w:ind w:hanging="360"/>
      </w:pPr>
      <w:r>
        <w:t xml:space="preserve">Specially adapted vehicles driven by disabled persons. </w:t>
      </w:r>
    </w:p>
    <w:p w14:paraId="52AEE6B6" w14:textId="77777777" w:rsidR="00F50D3A" w:rsidRDefault="00395364">
      <w:pPr>
        <w:spacing w:after="0" w:line="259" w:lineRule="auto"/>
        <w:ind w:left="0" w:firstLine="0"/>
      </w:pPr>
      <w:r>
        <w:t xml:space="preserve"> </w:t>
      </w:r>
    </w:p>
    <w:p w14:paraId="1AD5ACAF" w14:textId="77777777" w:rsidR="00F50D3A" w:rsidRDefault="00395364">
      <w:pPr>
        <w:tabs>
          <w:tab w:val="center" w:pos="2406"/>
        </w:tabs>
        <w:spacing w:after="33" w:line="226" w:lineRule="auto"/>
        <w:ind w:left="-15" w:firstLine="0"/>
      </w:pPr>
      <w:r>
        <w:t xml:space="preserve">2.1.7 </w:t>
      </w:r>
      <w:r>
        <w:tab/>
      </w:r>
      <w:r>
        <w:rPr>
          <w:color w:val="1A232A"/>
        </w:rPr>
        <w:t xml:space="preserve">Procedure where payment is not made </w:t>
      </w:r>
    </w:p>
    <w:tbl>
      <w:tblPr>
        <w:tblStyle w:val="TableGrid"/>
        <w:tblW w:w="9014" w:type="dxa"/>
        <w:tblInd w:w="6" w:type="dxa"/>
        <w:tblCellMar>
          <w:top w:w="3" w:type="dxa"/>
          <w:left w:w="107" w:type="dxa"/>
          <w:bottom w:w="17" w:type="dxa"/>
          <w:right w:w="87" w:type="dxa"/>
        </w:tblCellMar>
        <w:tblLook w:val="04A0" w:firstRow="1" w:lastRow="0" w:firstColumn="1" w:lastColumn="0" w:noHBand="0" w:noVBand="1"/>
      </w:tblPr>
      <w:tblGrid>
        <w:gridCol w:w="4219"/>
        <w:gridCol w:w="4795"/>
      </w:tblGrid>
      <w:tr w:rsidR="00F50D3A" w14:paraId="711EB5F0" w14:textId="77777777">
        <w:trPr>
          <w:trHeight w:val="479"/>
        </w:trPr>
        <w:tc>
          <w:tcPr>
            <w:tcW w:w="4506" w:type="dxa"/>
            <w:tcBorders>
              <w:top w:val="single" w:sz="4" w:space="0" w:color="82D1F1"/>
              <w:left w:val="single" w:sz="4" w:space="0" w:color="82D1F1"/>
              <w:bottom w:val="single" w:sz="12" w:space="0" w:color="82D1F1"/>
              <w:right w:val="single" w:sz="4" w:space="0" w:color="82D1F1"/>
            </w:tcBorders>
            <w:vAlign w:val="bottom"/>
          </w:tcPr>
          <w:p w14:paraId="124E83E1" w14:textId="77777777" w:rsidR="00F50D3A" w:rsidRDefault="00395364">
            <w:pPr>
              <w:spacing w:after="0" w:line="259" w:lineRule="auto"/>
              <w:ind w:left="0" w:firstLine="0"/>
            </w:pPr>
            <w:r>
              <w:rPr>
                <w:color w:val="2FB4E9"/>
                <w:sz w:val="28"/>
              </w:rPr>
              <w:t xml:space="preserve">Section </w:t>
            </w:r>
          </w:p>
        </w:tc>
        <w:tc>
          <w:tcPr>
            <w:tcW w:w="4508" w:type="dxa"/>
            <w:tcBorders>
              <w:top w:val="single" w:sz="4" w:space="0" w:color="82D1F1"/>
              <w:left w:val="single" w:sz="4" w:space="0" w:color="82D1F1"/>
              <w:bottom w:val="single" w:sz="12" w:space="0" w:color="82D1F1"/>
              <w:right w:val="single" w:sz="4" w:space="0" w:color="82D1F1"/>
            </w:tcBorders>
          </w:tcPr>
          <w:p w14:paraId="6925FB18" w14:textId="77777777" w:rsidR="00F50D3A" w:rsidRDefault="00395364">
            <w:pPr>
              <w:spacing w:after="0" w:line="259" w:lineRule="auto"/>
              <w:ind w:left="1" w:firstLine="0"/>
            </w:pPr>
            <w:r>
              <w:rPr>
                <w:color w:val="2FB4E9"/>
                <w:sz w:val="28"/>
              </w:rPr>
              <w:t xml:space="preserve">Notes  </w:t>
            </w:r>
          </w:p>
        </w:tc>
      </w:tr>
      <w:tr w:rsidR="00F50D3A" w14:paraId="16286598" w14:textId="77777777">
        <w:trPr>
          <w:trHeight w:val="1001"/>
        </w:trPr>
        <w:tc>
          <w:tcPr>
            <w:tcW w:w="4506" w:type="dxa"/>
            <w:tcBorders>
              <w:top w:val="single" w:sz="12" w:space="0" w:color="82D1F1"/>
              <w:left w:val="single" w:sz="4" w:space="0" w:color="82D1F1"/>
              <w:bottom w:val="single" w:sz="4" w:space="0" w:color="82D1F1"/>
              <w:right w:val="single" w:sz="4" w:space="0" w:color="82D1F1"/>
            </w:tcBorders>
            <w:shd w:val="clear" w:color="auto" w:fill="D5EFFA"/>
          </w:tcPr>
          <w:p w14:paraId="42369972" w14:textId="77777777" w:rsidR="00F50D3A" w:rsidRDefault="00395364">
            <w:pPr>
              <w:spacing w:after="0" w:line="259" w:lineRule="auto"/>
              <w:ind w:left="0" w:firstLine="0"/>
            </w:pPr>
            <w:r>
              <w:rPr>
                <w:b/>
              </w:rPr>
              <w:t xml:space="preserve">Time limit for compliance </w:t>
            </w:r>
          </w:p>
        </w:tc>
        <w:tc>
          <w:tcPr>
            <w:tcW w:w="4508" w:type="dxa"/>
            <w:tcBorders>
              <w:top w:val="single" w:sz="12" w:space="0" w:color="82D1F1"/>
              <w:left w:val="single" w:sz="4" w:space="0" w:color="82D1F1"/>
              <w:bottom w:val="single" w:sz="4" w:space="0" w:color="82D1F1"/>
              <w:right w:val="single" w:sz="4" w:space="0" w:color="82D1F1"/>
            </w:tcBorders>
            <w:shd w:val="clear" w:color="auto" w:fill="D5EFFA"/>
          </w:tcPr>
          <w:p w14:paraId="57F61249" w14:textId="5CEB9534" w:rsidR="00F50D3A" w:rsidRDefault="00395364" w:rsidP="005D50F0">
            <w:pPr>
              <w:spacing w:after="0" w:line="238" w:lineRule="auto"/>
              <w:ind w:left="1" w:firstLine="0"/>
            </w:pPr>
            <w:r>
              <w:t xml:space="preserve">Tolls for unregistered Service Users must be paid during the Initial Default Period, which means by 8pm the day after passage through the toll point. </w:t>
            </w:r>
          </w:p>
        </w:tc>
      </w:tr>
      <w:tr w:rsidR="00F50D3A" w14:paraId="1542D009" w14:textId="77777777">
        <w:trPr>
          <w:trHeight w:val="2441"/>
        </w:trPr>
        <w:tc>
          <w:tcPr>
            <w:tcW w:w="4506" w:type="dxa"/>
            <w:tcBorders>
              <w:top w:val="single" w:sz="4" w:space="0" w:color="82D1F1"/>
              <w:left w:val="single" w:sz="4" w:space="0" w:color="82D1F1"/>
              <w:bottom w:val="single" w:sz="4" w:space="0" w:color="82D1F1"/>
              <w:right w:val="single" w:sz="4" w:space="0" w:color="82D1F1"/>
            </w:tcBorders>
          </w:tcPr>
          <w:p w14:paraId="26CE415A" w14:textId="77777777" w:rsidR="00F50D3A" w:rsidRDefault="00395364">
            <w:pPr>
              <w:spacing w:after="0" w:line="259" w:lineRule="auto"/>
              <w:ind w:left="0" w:firstLine="0"/>
            </w:pPr>
            <w:r>
              <w:rPr>
                <w:b/>
              </w:rPr>
              <w:t xml:space="preserve">Penalty charge or fine levels </w:t>
            </w:r>
          </w:p>
        </w:tc>
        <w:tc>
          <w:tcPr>
            <w:tcW w:w="4508" w:type="dxa"/>
            <w:tcBorders>
              <w:top w:val="single" w:sz="4" w:space="0" w:color="82D1F1"/>
              <w:left w:val="single" w:sz="4" w:space="0" w:color="82D1F1"/>
              <w:bottom w:val="single" w:sz="4" w:space="0" w:color="82D1F1"/>
              <w:right w:val="single" w:sz="4" w:space="0" w:color="82D1F1"/>
            </w:tcBorders>
          </w:tcPr>
          <w:p w14:paraId="51ADD7F6" w14:textId="77777777" w:rsidR="00F50D3A" w:rsidRDefault="00395364">
            <w:pPr>
              <w:spacing w:after="0" w:line="259" w:lineRule="auto"/>
              <w:ind w:left="1" w:firstLine="0"/>
            </w:pPr>
            <w:r>
              <w:t>Where the Initial Default Toll payable is not paid before the expiry of the Initial Default Period, the unregistered Service User shall thereupon be liable to pay the Additional Default Toll applicable to the vehicle class. Details of Additional Default Toll applicable are contained in the M50 Bye-Laws which can be found on: tii.ie/</w:t>
            </w:r>
            <w:proofErr w:type="spellStart"/>
            <w:r>
              <w:t>roadstolling</w:t>
            </w:r>
            <w:proofErr w:type="spellEnd"/>
            <w:r>
              <w:t>/</w:t>
            </w:r>
            <w:proofErr w:type="spellStart"/>
            <w:r>
              <w:t>tollinginformation</w:t>
            </w:r>
            <w:proofErr w:type="spellEnd"/>
            <w:r>
              <w:t xml:space="preserve">/statutory-notices/  </w:t>
            </w:r>
          </w:p>
        </w:tc>
      </w:tr>
      <w:tr w:rsidR="00F50D3A" w14:paraId="52BEA8C1" w14:textId="77777777">
        <w:trPr>
          <w:trHeight w:val="3012"/>
        </w:trPr>
        <w:tc>
          <w:tcPr>
            <w:tcW w:w="4506" w:type="dxa"/>
            <w:tcBorders>
              <w:top w:val="single" w:sz="4" w:space="0" w:color="82D1F1"/>
              <w:left w:val="single" w:sz="4" w:space="0" w:color="82D1F1"/>
              <w:bottom w:val="single" w:sz="4" w:space="0" w:color="82D1F1"/>
              <w:right w:val="single" w:sz="4" w:space="0" w:color="82D1F1"/>
            </w:tcBorders>
            <w:shd w:val="clear" w:color="auto" w:fill="D5EFFA"/>
          </w:tcPr>
          <w:p w14:paraId="3F33B0AD" w14:textId="77777777" w:rsidR="00F50D3A" w:rsidRDefault="00395364">
            <w:pPr>
              <w:spacing w:after="0" w:line="259" w:lineRule="auto"/>
              <w:ind w:left="0" w:firstLine="0"/>
            </w:pPr>
            <w:r>
              <w:rPr>
                <w:b/>
              </w:rPr>
              <w:t xml:space="preserve">Penalty charge or fine processes </w:t>
            </w:r>
          </w:p>
        </w:tc>
        <w:tc>
          <w:tcPr>
            <w:tcW w:w="4508" w:type="dxa"/>
            <w:tcBorders>
              <w:top w:val="single" w:sz="4" w:space="0" w:color="82D1F1"/>
              <w:left w:val="single" w:sz="4" w:space="0" w:color="82D1F1"/>
              <w:bottom w:val="single" w:sz="4" w:space="0" w:color="82D1F1"/>
              <w:right w:val="single" w:sz="4" w:space="0" w:color="82D1F1"/>
            </w:tcBorders>
            <w:shd w:val="clear" w:color="auto" w:fill="D5EFFA"/>
          </w:tcPr>
          <w:p w14:paraId="3D0DBAA9" w14:textId="11328F01" w:rsidR="00F50D3A" w:rsidRDefault="00395364">
            <w:pPr>
              <w:spacing w:after="0" w:line="259" w:lineRule="auto"/>
              <w:ind w:left="1" w:firstLine="0"/>
            </w:pPr>
            <w:r>
              <w:t xml:space="preserve">If a payment is not made by the Initial Default Period, an enforcement process (as outlined in the </w:t>
            </w:r>
            <w:proofErr w:type="spellStart"/>
            <w:r>
              <w:t>eFlow</w:t>
            </w:r>
            <w:proofErr w:type="spellEnd"/>
            <w:r>
              <w:t xml:space="preserve"> Business Rules) is initiated. This process describes a timeline for escalating actions if a payment remains unpaid. This process can transfer to an Enforcement Service Provider and can end in court proceedings. More details on this process can be found on: eflow.ie/</w:t>
            </w:r>
            <w:proofErr w:type="spellStart"/>
            <w:r>
              <w:t>helpguidance</w:t>
            </w:r>
            <w:proofErr w:type="spellEnd"/>
            <w:r>
              <w:t>/</w:t>
            </w:r>
            <w:proofErr w:type="spellStart"/>
            <w:r>
              <w:t>faqs</w:t>
            </w:r>
            <w:proofErr w:type="spellEnd"/>
            <w:r>
              <w:t>/penalties/</w:t>
            </w:r>
            <w:proofErr w:type="spellStart"/>
            <w:r>
              <w:t>ive</w:t>
            </w:r>
            <w:proofErr w:type="spellEnd"/>
            <w:r>
              <w:t>-</w:t>
            </w:r>
            <w:proofErr w:type="spellStart"/>
            <w:r>
              <w:t>missedthe</w:t>
            </w:r>
            <w:proofErr w:type="spellEnd"/>
            <w:r>
              <w:t xml:space="preserve">-payment-de/ </w:t>
            </w:r>
          </w:p>
        </w:tc>
      </w:tr>
      <w:tr w:rsidR="00F50D3A" w14:paraId="4E060FDB" w14:textId="77777777">
        <w:trPr>
          <w:trHeight w:val="2152"/>
        </w:trPr>
        <w:tc>
          <w:tcPr>
            <w:tcW w:w="4506" w:type="dxa"/>
            <w:tcBorders>
              <w:top w:val="single" w:sz="4" w:space="0" w:color="82D1F1"/>
              <w:left w:val="single" w:sz="4" w:space="0" w:color="82D1F1"/>
              <w:bottom w:val="single" w:sz="4" w:space="0" w:color="82D1F1"/>
              <w:right w:val="single" w:sz="4" w:space="0" w:color="82D1F1"/>
            </w:tcBorders>
          </w:tcPr>
          <w:p w14:paraId="775CD943" w14:textId="77777777" w:rsidR="00F50D3A" w:rsidRDefault="00395364">
            <w:pPr>
              <w:spacing w:after="0" w:line="259" w:lineRule="auto"/>
              <w:ind w:left="0" w:firstLine="0"/>
            </w:pPr>
            <w:r>
              <w:rPr>
                <w:b/>
              </w:rPr>
              <w:t xml:space="preserve">Channels and payment means for penalty charges or fines </w:t>
            </w:r>
          </w:p>
        </w:tc>
        <w:tc>
          <w:tcPr>
            <w:tcW w:w="4508" w:type="dxa"/>
            <w:tcBorders>
              <w:top w:val="single" w:sz="4" w:space="0" w:color="82D1F1"/>
              <w:left w:val="single" w:sz="4" w:space="0" w:color="82D1F1"/>
              <w:bottom w:val="single" w:sz="4" w:space="0" w:color="82D1F1"/>
              <w:right w:val="single" w:sz="4" w:space="0" w:color="82D1F1"/>
            </w:tcBorders>
          </w:tcPr>
          <w:p w14:paraId="4007E7C9" w14:textId="77777777" w:rsidR="00F50D3A" w:rsidRDefault="00395364">
            <w:pPr>
              <w:spacing w:after="0" w:line="236" w:lineRule="auto"/>
              <w:ind w:left="1" w:firstLine="0"/>
            </w:pPr>
            <w:r>
              <w:t xml:space="preserve">Once the enforcement process has been initiated, the unregistered Service User needs to pay the Additional Default Toll applicable. Further details on channels and payment means for penalty charges or fines can be found on: </w:t>
            </w:r>
          </w:p>
          <w:p w14:paraId="0A53DB05" w14:textId="77777777" w:rsidR="00F50D3A" w:rsidRDefault="00395364">
            <w:pPr>
              <w:spacing w:after="0" w:line="259" w:lineRule="auto"/>
              <w:ind w:left="1" w:firstLine="0"/>
            </w:pPr>
            <w:r>
              <w:t>eflow.ie/</w:t>
            </w:r>
            <w:proofErr w:type="spellStart"/>
            <w:r>
              <w:t>helpguidance</w:t>
            </w:r>
            <w:proofErr w:type="spellEnd"/>
            <w:r>
              <w:t>/</w:t>
            </w:r>
            <w:proofErr w:type="spellStart"/>
            <w:r>
              <w:t>faqs</w:t>
            </w:r>
            <w:proofErr w:type="spellEnd"/>
            <w:r>
              <w:t>/penalties/</w:t>
            </w:r>
            <w:proofErr w:type="spellStart"/>
            <w:r>
              <w:t>ive</w:t>
            </w:r>
            <w:proofErr w:type="spellEnd"/>
            <w:r>
              <w:t>-</w:t>
            </w:r>
            <w:proofErr w:type="spellStart"/>
            <w:r>
              <w:t>missedthe</w:t>
            </w:r>
            <w:proofErr w:type="spellEnd"/>
            <w:r>
              <w:t xml:space="preserve">-payment-de/ </w:t>
            </w:r>
          </w:p>
        </w:tc>
      </w:tr>
    </w:tbl>
    <w:p w14:paraId="599B1182" w14:textId="77777777" w:rsidR="00F50D3A" w:rsidRDefault="00395364">
      <w:pPr>
        <w:spacing w:after="0" w:line="259" w:lineRule="auto"/>
        <w:ind w:left="0" w:firstLine="0"/>
      </w:pPr>
      <w:r>
        <w:lastRenderedPageBreak/>
        <w:t xml:space="preserve"> </w:t>
      </w:r>
    </w:p>
    <w:p w14:paraId="2CFB96F9" w14:textId="77777777" w:rsidR="00F50D3A" w:rsidRDefault="00395364">
      <w:pPr>
        <w:tabs>
          <w:tab w:val="center" w:pos="2013"/>
        </w:tabs>
        <w:ind w:left="-15" w:firstLine="0"/>
      </w:pPr>
      <w:r>
        <w:t xml:space="preserve">2.1.8 </w:t>
      </w:r>
      <w:r>
        <w:tab/>
        <w:t xml:space="preserve">White, black and grey lists </w:t>
      </w:r>
    </w:p>
    <w:p w14:paraId="4ADB93C4" w14:textId="77777777" w:rsidR="00F50D3A" w:rsidRDefault="00395364">
      <w:pPr>
        <w:spacing w:after="92" w:line="259" w:lineRule="auto"/>
        <w:ind w:left="0" w:firstLine="0"/>
      </w:pPr>
      <w:r>
        <w:t xml:space="preserve"> </w:t>
      </w:r>
    </w:p>
    <w:p w14:paraId="64C0A0B7" w14:textId="77777777" w:rsidR="00F50D3A" w:rsidRDefault="00395364">
      <w:pPr>
        <w:ind w:left="-5"/>
      </w:pPr>
      <w:r>
        <w:t xml:space="preserve">The mandatory content, schedule and update frequency for both the ETC White and Black List according to the Irish national interoperability scheme are detailed in the following table: </w:t>
      </w:r>
    </w:p>
    <w:tbl>
      <w:tblPr>
        <w:tblStyle w:val="TableGrid"/>
        <w:tblW w:w="9014" w:type="dxa"/>
        <w:tblInd w:w="6" w:type="dxa"/>
        <w:tblCellMar>
          <w:top w:w="4" w:type="dxa"/>
          <w:left w:w="107" w:type="dxa"/>
        </w:tblCellMar>
        <w:tblLook w:val="04A0" w:firstRow="1" w:lastRow="0" w:firstColumn="1" w:lastColumn="0" w:noHBand="0" w:noVBand="1"/>
      </w:tblPr>
      <w:tblGrid>
        <w:gridCol w:w="1433"/>
        <w:gridCol w:w="1457"/>
        <w:gridCol w:w="113"/>
        <w:gridCol w:w="1415"/>
        <w:gridCol w:w="1567"/>
        <w:gridCol w:w="113"/>
        <w:gridCol w:w="1529"/>
        <w:gridCol w:w="1387"/>
      </w:tblGrid>
      <w:tr w:rsidR="00F50D3A" w14:paraId="264FC786" w14:textId="77777777">
        <w:trPr>
          <w:trHeight w:val="482"/>
        </w:trPr>
        <w:tc>
          <w:tcPr>
            <w:tcW w:w="1457" w:type="dxa"/>
            <w:tcBorders>
              <w:top w:val="single" w:sz="4" w:space="0" w:color="82D1F1"/>
              <w:left w:val="single" w:sz="4" w:space="0" w:color="82D1F1"/>
              <w:bottom w:val="single" w:sz="12" w:space="0" w:color="82D1F1"/>
              <w:right w:val="nil"/>
            </w:tcBorders>
            <w:vAlign w:val="bottom"/>
          </w:tcPr>
          <w:p w14:paraId="4CE27681" w14:textId="77777777" w:rsidR="00F50D3A" w:rsidRDefault="00395364">
            <w:pPr>
              <w:spacing w:after="0" w:line="259" w:lineRule="auto"/>
              <w:ind w:left="0" w:firstLine="0"/>
            </w:pPr>
            <w:r>
              <w:rPr>
                <w:color w:val="2FB4E9"/>
                <w:sz w:val="28"/>
              </w:rPr>
              <w:t xml:space="preserve">List </w:t>
            </w:r>
          </w:p>
        </w:tc>
        <w:tc>
          <w:tcPr>
            <w:tcW w:w="1465" w:type="dxa"/>
            <w:tcBorders>
              <w:top w:val="single" w:sz="4" w:space="0" w:color="82D1F1"/>
              <w:left w:val="nil"/>
              <w:bottom w:val="single" w:sz="12" w:space="0" w:color="82D1F1"/>
              <w:right w:val="nil"/>
            </w:tcBorders>
          </w:tcPr>
          <w:p w14:paraId="26E90D87" w14:textId="77777777" w:rsidR="00F50D3A" w:rsidRDefault="00F50D3A">
            <w:pPr>
              <w:spacing w:after="160" w:line="259" w:lineRule="auto"/>
              <w:ind w:left="0" w:firstLine="0"/>
            </w:pPr>
          </w:p>
        </w:tc>
        <w:tc>
          <w:tcPr>
            <w:tcW w:w="82" w:type="dxa"/>
            <w:tcBorders>
              <w:top w:val="single" w:sz="4" w:space="0" w:color="82D1F1"/>
              <w:left w:val="nil"/>
              <w:bottom w:val="single" w:sz="12" w:space="0" w:color="82D1F1"/>
              <w:right w:val="single" w:sz="4" w:space="0" w:color="82D1F1"/>
            </w:tcBorders>
          </w:tcPr>
          <w:p w14:paraId="55B8C5A4" w14:textId="77777777" w:rsidR="00F50D3A" w:rsidRDefault="00F50D3A">
            <w:pPr>
              <w:spacing w:after="160" w:line="259" w:lineRule="auto"/>
              <w:ind w:left="0" w:firstLine="0"/>
            </w:pPr>
          </w:p>
        </w:tc>
        <w:tc>
          <w:tcPr>
            <w:tcW w:w="1423" w:type="dxa"/>
            <w:tcBorders>
              <w:top w:val="single" w:sz="4" w:space="0" w:color="82D1F1"/>
              <w:left w:val="single" w:sz="4" w:space="0" w:color="82D1F1"/>
              <w:bottom w:val="single" w:sz="12" w:space="0" w:color="82D1F1"/>
              <w:right w:val="nil"/>
            </w:tcBorders>
          </w:tcPr>
          <w:p w14:paraId="2C82F700" w14:textId="77777777" w:rsidR="00F50D3A" w:rsidRDefault="00395364">
            <w:pPr>
              <w:spacing w:after="0" w:line="259" w:lineRule="auto"/>
              <w:ind w:left="1" w:firstLine="0"/>
            </w:pPr>
            <w:r>
              <w:rPr>
                <w:color w:val="2FB4E9"/>
                <w:sz w:val="28"/>
              </w:rPr>
              <w:t xml:space="preserve">Content </w:t>
            </w:r>
          </w:p>
        </w:tc>
        <w:tc>
          <w:tcPr>
            <w:tcW w:w="1584" w:type="dxa"/>
            <w:tcBorders>
              <w:top w:val="single" w:sz="4" w:space="0" w:color="82D1F1"/>
              <w:left w:val="nil"/>
              <w:bottom w:val="single" w:sz="12" w:space="0" w:color="82D1F1"/>
              <w:right w:val="single" w:sz="4" w:space="0" w:color="82D1F1"/>
            </w:tcBorders>
          </w:tcPr>
          <w:p w14:paraId="374A8D59" w14:textId="77777777" w:rsidR="00F50D3A" w:rsidRDefault="00F50D3A">
            <w:pPr>
              <w:spacing w:after="160" w:line="259" w:lineRule="auto"/>
              <w:ind w:left="0" w:firstLine="0"/>
            </w:pPr>
          </w:p>
        </w:tc>
        <w:tc>
          <w:tcPr>
            <w:tcW w:w="1608" w:type="dxa"/>
            <w:gridSpan w:val="2"/>
            <w:tcBorders>
              <w:top w:val="single" w:sz="4" w:space="0" w:color="82D1F1"/>
              <w:left w:val="single" w:sz="4" w:space="0" w:color="82D1F1"/>
              <w:bottom w:val="single" w:sz="12" w:space="0" w:color="82D1F1"/>
              <w:right w:val="nil"/>
            </w:tcBorders>
          </w:tcPr>
          <w:p w14:paraId="421D5AB6" w14:textId="77777777" w:rsidR="00F50D3A" w:rsidRDefault="00395364">
            <w:pPr>
              <w:spacing w:after="0" w:line="259" w:lineRule="auto"/>
              <w:ind w:left="1" w:firstLine="0"/>
            </w:pPr>
            <w:r>
              <w:rPr>
                <w:color w:val="2FB4E9"/>
                <w:sz w:val="28"/>
              </w:rPr>
              <w:t xml:space="preserve">Update  </w:t>
            </w:r>
          </w:p>
        </w:tc>
        <w:tc>
          <w:tcPr>
            <w:tcW w:w="1396" w:type="dxa"/>
            <w:tcBorders>
              <w:top w:val="single" w:sz="4" w:space="0" w:color="82D1F1"/>
              <w:left w:val="nil"/>
              <w:bottom w:val="single" w:sz="12" w:space="0" w:color="82D1F1"/>
              <w:right w:val="single" w:sz="4" w:space="0" w:color="82D1F1"/>
            </w:tcBorders>
          </w:tcPr>
          <w:p w14:paraId="7B2DC79D" w14:textId="77777777" w:rsidR="00F50D3A" w:rsidRDefault="00F50D3A">
            <w:pPr>
              <w:spacing w:after="160" w:line="259" w:lineRule="auto"/>
              <w:ind w:left="0" w:firstLine="0"/>
            </w:pPr>
          </w:p>
        </w:tc>
      </w:tr>
      <w:tr w:rsidR="00F50D3A" w14:paraId="2C388197" w14:textId="77777777">
        <w:trPr>
          <w:trHeight w:val="431"/>
        </w:trPr>
        <w:tc>
          <w:tcPr>
            <w:tcW w:w="1457" w:type="dxa"/>
            <w:tcBorders>
              <w:top w:val="single" w:sz="12" w:space="0" w:color="82D1F1"/>
              <w:left w:val="single" w:sz="4" w:space="0" w:color="82D1F1"/>
              <w:bottom w:val="single" w:sz="4" w:space="0" w:color="82D1F1"/>
              <w:right w:val="single" w:sz="4" w:space="0" w:color="82D1F1"/>
            </w:tcBorders>
            <w:shd w:val="clear" w:color="auto" w:fill="D5EFFA"/>
            <w:vAlign w:val="bottom"/>
          </w:tcPr>
          <w:p w14:paraId="5DA63253" w14:textId="77777777" w:rsidR="00F50D3A" w:rsidRDefault="00395364">
            <w:pPr>
              <w:spacing w:after="0" w:line="259" w:lineRule="auto"/>
              <w:ind w:left="0" w:firstLine="0"/>
            </w:pPr>
            <w:r>
              <w:rPr>
                <w:b/>
              </w:rPr>
              <w:t xml:space="preserve">Type </w:t>
            </w:r>
          </w:p>
        </w:tc>
        <w:tc>
          <w:tcPr>
            <w:tcW w:w="1465" w:type="dxa"/>
            <w:tcBorders>
              <w:top w:val="single" w:sz="12" w:space="0" w:color="82D1F1"/>
              <w:left w:val="single" w:sz="4" w:space="0" w:color="82D1F1"/>
              <w:bottom w:val="single" w:sz="4" w:space="0" w:color="82D1F1"/>
              <w:right w:val="single" w:sz="4" w:space="0" w:color="82D1F1"/>
            </w:tcBorders>
            <w:shd w:val="clear" w:color="auto" w:fill="D5EFFA"/>
          </w:tcPr>
          <w:p w14:paraId="4BE58167" w14:textId="77777777" w:rsidR="00F50D3A" w:rsidRDefault="00395364">
            <w:pPr>
              <w:spacing w:after="0" w:line="259" w:lineRule="auto"/>
              <w:ind w:left="2" w:firstLine="0"/>
            </w:pPr>
            <w:r>
              <w:t xml:space="preserve">Tag Name </w:t>
            </w:r>
          </w:p>
        </w:tc>
        <w:tc>
          <w:tcPr>
            <w:tcW w:w="1505" w:type="dxa"/>
            <w:gridSpan w:val="2"/>
            <w:tcBorders>
              <w:top w:val="single" w:sz="12" w:space="0" w:color="82D1F1"/>
              <w:left w:val="single" w:sz="4" w:space="0" w:color="82D1F1"/>
              <w:bottom w:val="single" w:sz="4" w:space="0" w:color="82D1F1"/>
              <w:right w:val="single" w:sz="4" w:space="0" w:color="82D1F1"/>
            </w:tcBorders>
            <w:shd w:val="clear" w:color="auto" w:fill="D5EFFA"/>
          </w:tcPr>
          <w:p w14:paraId="3EA231CC" w14:textId="77777777" w:rsidR="00F50D3A" w:rsidRDefault="00395364">
            <w:pPr>
              <w:spacing w:after="0" w:line="259" w:lineRule="auto"/>
              <w:ind w:left="1" w:firstLine="0"/>
            </w:pPr>
            <w:r>
              <w:t xml:space="preserve">Full Name </w:t>
            </w:r>
          </w:p>
        </w:tc>
        <w:tc>
          <w:tcPr>
            <w:tcW w:w="1584" w:type="dxa"/>
            <w:tcBorders>
              <w:top w:val="single" w:sz="12" w:space="0" w:color="82D1F1"/>
              <w:left w:val="single" w:sz="4" w:space="0" w:color="82D1F1"/>
              <w:bottom w:val="single" w:sz="4" w:space="0" w:color="82D1F1"/>
              <w:right w:val="nil"/>
            </w:tcBorders>
            <w:shd w:val="clear" w:color="auto" w:fill="D5EFFA"/>
          </w:tcPr>
          <w:p w14:paraId="6F5D2FBB" w14:textId="77777777" w:rsidR="00F50D3A" w:rsidRDefault="00395364">
            <w:pPr>
              <w:spacing w:after="0" w:line="259" w:lineRule="auto"/>
              <w:ind w:left="1" w:firstLine="0"/>
            </w:pPr>
            <w:r>
              <w:t xml:space="preserve">Comment  </w:t>
            </w:r>
          </w:p>
        </w:tc>
        <w:tc>
          <w:tcPr>
            <w:tcW w:w="77" w:type="dxa"/>
            <w:tcBorders>
              <w:top w:val="single" w:sz="12" w:space="0" w:color="82D1F1"/>
              <w:left w:val="nil"/>
              <w:bottom w:val="single" w:sz="4" w:space="0" w:color="82D1F1"/>
              <w:right w:val="single" w:sz="4" w:space="0" w:color="82D1F1"/>
            </w:tcBorders>
            <w:shd w:val="clear" w:color="auto" w:fill="D5EFFA"/>
          </w:tcPr>
          <w:p w14:paraId="64FD03DB" w14:textId="77777777" w:rsidR="00F50D3A" w:rsidRDefault="00F50D3A">
            <w:pPr>
              <w:spacing w:after="160" w:line="259" w:lineRule="auto"/>
              <w:ind w:left="0" w:firstLine="0"/>
            </w:pPr>
          </w:p>
        </w:tc>
        <w:tc>
          <w:tcPr>
            <w:tcW w:w="1531" w:type="dxa"/>
            <w:tcBorders>
              <w:top w:val="single" w:sz="12" w:space="0" w:color="82D1F1"/>
              <w:left w:val="single" w:sz="4" w:space="0" w:color="82D1F1"/>
              <w:bottom w:val="single" w:sz="4" w:space="0" w:color="82D1F1"/>
              <w:right w:val="single" w:sz="4" w:space="0" w:color="82D1F1"/>
            </w:tcBorders>
            <w:shd w:val="clear" w:color="auto" w:fill="D5EFFA"/>
          </w:tcPr>
          <w:p w14:paraId="5989CA30" w14:textId="77777777" w:rsidR="00F50D3A" w:rsidRDefault="00395364">
            <w:pPr>
              <w:spacing w:after="0" w:line="259" w:lineRule="auto"/>
              <w:ind w:left="1" w:firstLine="0"/>
            </w:pPr>
            <w:r>
              <w:t xml:space="preserve">Field Type </w:t>
            </w:r>
          </w:p>
        </w:tc>
        <w:tc>
          <w:tcPr>
            <w:tcW w:w="1396" w:type="dxa"/>
            <w:tcBorders>
              <w:top w:val="single" w:sz="12" w:space="0" w:color="82D1F1"/>
              <w:left w:val="single" w:sz="4" w:space="0" w:color="82D1F1"/>
              <w:bottom w:val="single" w:sz="4" w:space="0" w:color="82D1F1"/>
              <w:right w:val="single" w:sz="4" w:space="0" w:color="82D1F1"/>
            </w:tcBorders>
            <w:shd w:val="clear" w:color="auto" w:fill="D5EFFA"/>
          </w:tcPr>
          <w:p w14:paraId="161E8748" w14:textId="77777777" w:rsidR="00F50D3A" w:rsidRDefault="00395364">
            <w:pPr>
              <w:spacing w:after="0" w:line="259" w:lineRule="auto"/>
              <w:ind w:left="1" w:firstLine="0"/>
            </w:pPr>
            <w:r>
              <w:t xml:space="preserve">Frequency  </w:t>
            </w:r>
          </w:p>
        </w:tc>
      </w:tr>
      <w:tr w:rsidR="00F50D3A" w14:paraId="27282471" w14:textId="77777777">
        <w:trPr>
          <w:trHeight w:val="997"/>
        </w:trPr>
        <w:tc>
          <w:tcPr>
            <w:tcW w:w="1457" w:type="dxa"/>
            <w:tcBorders>
              <w:top w:val="single" w:sz="4" w:space="0" w:color="82D1F1"/>
              <w:left w:val="single" w:sz="4" w:space="0" w:color="82D1F1"/>
              <w:bottom w:val="single" w:sz="4" w:space="0" w:color="82D1F1"/>
              <w:right w:val="single" w:sz="4" w:space="0" w:color="82D1F1"/>
            </w:tcBorders>
          </w:tcPr>
          <w:p w14:paraId="0ED04CAF" w14:textId="77777777" w:rsidR="00F50D3A" w:rsidRDefault="00395364">
            <w:pPr>
              <w:spacing w:after="0" w:line="259" w:lineRule="auto"/>
              <w:ind w:left="0" w:firstLine="0"/>
            </w:pPr>
            <w:r>
              <w:rPr>
                <w:b/>
              </w:rPr>
              <w:t xml:space="preserve">White  </w:t>
            </w:r>
          </w:p>
        </w:tc>
        <w:tc>
          <w:tcPr>
            <w:tcW w:w="1465" w:type="dxa"/>
            <w:tcBorders>
              <w:top w:val="single" w:sz="4" w:space="0" w:color="82D1F1"/>
              <w:left w:val="single" w:sz="4" w:space="0" w:color="82D1F1"/>
              <w:bottom w:val="single" w:sz="4" w:space="0" w:color="82D1F1"/>
              <w:right w:val="single" w:sz="4" w:space="0" w:color="82D1F1"/>
            </w:tcBorders>
          </w:tcPr>
          <w:p w14:paraId="681A8C58" w14:textId="77777777" w:rsidR="00F50D3A" w:rsidRDefault="00395364">
            <w:pPr>
              <w:numPr>
                <w:ilvl w:val="0"/>
                <w:numId w:val="6"/>
              </w:numPr>
              <w:spacing w:after="0" w:line="259" w:lineRule="auto"/>
              <w:ind w:hanging="89"/>
            </w:pPr>
            <w:r>
              <w:t xml:space="preserve">cm </w:t>
            </w:r>
          </w:p>
          <w:p w14:paraId="5D8703B4" w14:textId="77777777" w:rsidR="00F50D3A" w:rsidRDefault="00395364">
            <w:pPr>
              <w:numPr>
                <w:ilvl w:val="0"/>
                <w:numId w:val="6"/>
              </w:numPr>
              <w:spacing w:after="0" w:line="259" w:lineRule="auto"/>
              <w:ind w:hanging="89"/>
            </w:pPr>
            <w:proofErr w:type="spellStart"/>
            <w:r>
              <w:t>obu</w:t>
            </w:r>
            <w:proofErr w:type="spellEnd"/>
            <w:r>
              <w:t xml:space="preserve">  </w:t>
            </w:r>
          </w:p>
          <w:p w14:paraId="1FA5F446" w14:textId="77777777" w:rsidR="00F50D3A" w:rsidRDefault="00395364">
            <w:pPr>
              <w:numPr>
                <w:ilvl w:val="0"/>
                <w:numId w:val="6"/>
              </w:numPr>
              <w:spacing w:after="0" w:line="259" w:lineRule="auto"/>
              <w:ind w:hanging="89"/>
            </w:pPr>
            <w:proofErr w:type="spellStart"/>
            <w:r>
              <w:t>vc</w:t>
            </w:r>
            <w:proofErr w:type="spellEnd"/>
            <w:r>
              <w:t xml:space="preserve">  </w:t>
            </w:r>
          </w:p>
        </w:tc>
        <w:tc>
          <w:tcPr>
            <w:tcW w:w="1505" w:type="dxa"/>
            <w:gridSpan w:val="2"/>
            <w:tcBorders>
              <w:top w:val="single" w:sz="4" w:space="0" w:color="82D1F1"/>
              <w:left w:val="single" w:sz="4" w:space="0" w:color="82D1F1"/>
              <w:bottom w:val="single" w:sz="4" w:space="0" w:color="82D1F1"/>
              <w:right w:val="single" w:sz="4" w:space="0" w:color="82D1F1"/>
            </w:tcBorders>
          </w:tcPr>
          <w:p w14:paraId="3C98D9C7" w14:textId="77777777" w:rsidR="00F50D3A" w:rsidRDefault="00395364">
            <w:pPr>
              <w:spacing w:after="0" w:line="259" w:lineRule="auto"/>
              <w:ind w:left="1" w:firstLine="0"/>
            </w:pPr>
            <w:r>
              <w:t xml:space="preserve">Context Mark OBU  </w:t>
            </w:r>
          </w:p>
        </w:tc>
        <w:tc>
          <w:tcPr>
            <w:tcW w:w="1584" w:type="dxa"/>
            <w:tcBorders>
              <w:top w:val="single" w:sz="4" w:space="0" w:color="82D1F1"/>
              <w:left w:val="single" w:sz="4" w:space="0" w:color="82D1F1"/>
              <w:bottom w:val="single" w:sz="4" w:space="0" w:color="82D1F1"/>
              <w:right w:val="nil"/>
            </w:tcBorders>
          </w:tcPr>
          <w:p w14:paraId="4EE7718C" w14:textId="77777777" w:rsidR="00F50D3A" w:rsidRDefault="00395364">
            <w:pPr>
              <w:spacing w:after="0" w:line="259" w:lineRule="auto"/>
              <w:ind w:left="1" w:right="26" w:firstLine="0"/>
              <w:jc w:val="both"/>
            </w:pPr>
            <w:r>
              <w:t xml:space="preserve">Unique issuer identifier Unique OBU identifier </w:t>
            </w:r>
          </w:p>
        </w:tc>
        <w:tc>
          <w:tcPr>
            <w:tcW w:w="77" w:type="dxa"/>
            <w:tcBorders>
              <w:top w:val="single" w:sz="4" w:space="0" w:color="82D1F1"/>
              <w:left w:val="nil"/>
              <w:bottom w:val="single" w:sz="4" w:space="0" w:color="82D1F1"/>
              <w:right w:val="single" w:sz="4" w:space="0" w:color="82D1F1"/>
            </w:tcBorders>
          </w:tcPr>
          <w:p w14:paraId="1FFBE1ED" w14:textId="77777777" w:rsidR="00F50D3A" w:rsidRDefault="00F50D3A">
            <w:pPr>
              <w:spacing w:after="160" w:line="259" w:lineRule="auto"/>
              <w:ind w:left="0" w:firstLine="0"/>
            </w:pPr>
          </w:p>
        </w:tc>
        <w:tc>
          <w:tcPr>
            <w:tcW w:w="1531" w:type="dxa"/>
            <w:tcBorders>
              <w:top w:val="single" w:sz="4" w:space="0" w:color="82D1F1"/>
              <w:left w:val="single" w:sz="4" w:space="0" w:color="82D1F1"/>
              <w:bottom w:val="single" w:sz="4" w:space="0" w:color="82D1F1"/>
              <w:right w:val="single" w:sz="4" w:space="0" w:color="82D1F1"/>
            </w:tcBorders>
          </w:tcPr>
          <w:p w14:paraId="1D170150" w14:textId="77777777" w:rsidR="00F50D3A" w:rsidRDefault="00395364">
            <w:pPr>
              <w:spacing w:after="0" w:line="259" w:lineRule="auto"/>
              <w:ind w:left="1" w:firstLine="0"/>
            </w:pPr>
            <w:proofErr w:type="spellStart"/>
            <w:r>
              <w:t>nvarchar</w:t>
            </w:r>
            <w:proofErr w:type="spellEnd"/>
            <w:r>
              <w:t xml:space="preserve">(25) </w:t>
            </w:r>
            <w:proofErr w:type="spellStart"/>
            <w:r>
              <w:t>nvarchar</w:t>
            </w:r>
            <w:proofErr w:type="spellEnd"/>
            <w:r>
              <w:t xml:space="preserve">(25) </w:t>
            </w:r>
          </w:p>
        </w:tc>
        <w:tc>
          <w:tcPr>
            <w:tcW w:w="1396" w:type="dxa"/>
            <w:tcBorders>
              <w:top w:val="single" w:sz="4" w:space="0" w:color="82D1F1"/>
              <w:left w:val="single" w:sz="4" w:space="0" w:color="82D1F1"/>
              <w:bottom w:val="single" w:sz="4" w:space="0" w:color="82D1F1"/>
              <w:right w:val="single" w:sz="4" w:space="0" w:color="82D1F1"/>
            </w:tcBorders>
          </w:tcPr>
          <w:p w14:paraId="169A2717" w14:textId="77777777" w:rsidR="00F50D3A" w:rsidRDefault="00395364">
            <w:pPr>
              <w:spacing w:after="0" w:line="259" w:lineRule="auto"/>
              <w:ind w:left="1" w:firstLine="0"/>
            </w:pPr>
            <w:r>
              <w:t xml:space="preserve">Twice Daily at </w:t>
            </w:r>
          </w:p>
          <w:p w14:paraId="32DA6CB5" w14:textId="77777777" w:rsidR="00F50D3A" w:rsidRDefault="00395364">
            <w:pPr>
              <w:spacing w:after="0" w:line="259" w:lineRule="auto"/>
              <w:ind w:left="1" w:firstLine="0"/>
            </w:pPr>
            <w:r>
              <w:t xml:space="preserve">10:00 and </w:t>
            </w:r>
          </w:p>
          <w:p w14:paraId="00891CF2" w14:textId="77777777" w:rsidR="00F50D3A" w:rsidRDefault="00395364">
            <w:pPr>
              <w:spacing w:after="0" w:line="259" w:lineRule="auto"/>
              <w:ind w:left="1" w:firstLine="0"/>
            </w:pPr>
            <w:r>
              <w:t xml:space="preserve">16:00 </w:t>
            </w:r>
          </w:p>
        </w:tc>
      </w:tr>
      <w:tr w:rsidR="00F50D3A" w14:paraId="213CF0D3" w14:textId="77777777">
        <w:trPr>
          <w:trHeight w:val="1164"/>
        </w:trPr>
        <w:tc>
          <w:tcPr>
            <w:tcW w:w="1457" w:type="dxa"/>
            <w:tcBorders>
              <w:top w:val="single" w:sz="4" w:space="0" w:color="82D1F1"/>
              <w:left w:val="single" w:sz="4" w:space="0" w:color="82D1F1"/>
              <w:bottom w:val="single" w:sz="4" w:space="0" w:color="82D1F1"/>
              <w:right w:val="single" w:sz="4" w:space="0" w:color="82D1F1"/>
            </w:tcBorders>
          </w:tcPr>
          <w:p w14:paraId="4A0AC331" w14:textId="77777777" w:rsidR="00F50D3A" w:rsidRDefault="00F50D3A">
            <w:pPr>
              <w:spacing w:after="160" w:line="259" w:lineRule="auto"/>
              <w:ind w:left="0" w:firstLine="0"/>
            </w:pPr>
          </w:p>
        </w:tc>
        <w:tc>
          <w:tcPr>
            <w:tcW w:w="1465" w:type="dxa"/>
            <w:tcBorders>
              <w:top w:val="single" w:sz="4" w:space="0" w:color="82D1F1"/>
              <w:left w:val="single" w:sz="4" w:space="0" w:color="82D1F1"/>
              <w:bottom w:val="single" w:sz="4" w:space="0" w:color="82D1F1"/>
              <w:right w:val="single" w:sz="4" w:space="0" w:color="82D1F1"/>
            </w:tcBorders>
          </w:tcPr>
          <w:p w14:paraId="19EF005D" w14:textId="7FACBAEC" w:rsidR="00F50D3A" w:rsidRDefault="00395364">
            <w:pPr>
              <w:spacing w:after="0" w:line="259" w:lineRule="auto"/>
              <w:ind w:left="2" w:firstLine="0"/>
            </w:pPr>
            <w:r>
              <w:t>•</w:t>
            </w:r>
            <w:r w:rsidR="000F5857">
              <w:t xml:space="preserve">          </w:t>
            </w:r>
            <w:r>
              <w:t xml:space="preserve"> </w:t>
            </w:r>
            <w:proofErr w:type="spellStart"/>
            <w:r>
              <w:t>vm</w:t>
            </w:r>
            <w:proofErr w:type="spellEnd"/>
            <w:r>
              <w:t xml:space="preserve"> </w:t>
            </w:r>
          </w:p>
        </w:tc>
        <w:tc>
          <w:tcPr>
            <w:tcW w:w="1505" w:type="dxa"/>
            <w:gridSpan w:val="2"/>
            <w:tcBorders>
              <w:top w:val="single" w:sz="4" w:space="0" w:color="82D1F1"/>
              <w:left w:val="single" w:sz="4" w:space="0" w:color="82D1F1"/>
              <w:bottom w:val="single" w:sz="4" w:space="0" w:color="82D1F1"/>
              <w:right w:val="single" w:sz="4" w:space="0" w:color="82D1F1"/>
            </w:tcBorders>
          </w:tcPr>
          <w:p w14:paraId="00EDAB95" w14:textId="77777777" w:rsidR="00F50D3A" w:rsidRDefault="00395364">
            <w:pPr>
              <w:spacing w:after="0" w:line="259" w:lineRule="auto"/>
              <w:ind w:left="1" w:firstLine="0"/>
            </w:pPr>
            <w:r>
              <w:t xml:space="preserve">Vehicle Class </w:t>
            </w:r>
          </w:p>
          <w:p w14:paraId="38DC24A8" w14:textId="77777777" w:rsidR="00F50D3A" w:rsidRDefault="00395364">
            <w:pPr>
              <w:spacing w:after="0" w:line="259" w:lineRule="auto"/>
              <w:ind w:left="1" w:firstLine="0"/>
            </w:pPr>
            <w:r>
              <w:t xml:space="preserve">Vehicle </w:t>
            </w:r>
          </w:p>
          <w:p w14:paraId="70771D57" w14:textId="77777777" w:rsidR="00F50D3A" w:rsidRDefault="00395364">
            <w:pPr>
              <w:spacing w:after="0" w:line="259" w:lineRule="auto"/>
              <w:ind w:left="1" w:firstLine="0"/>
            </w:pPr>
            <w:r>
              <w:t xml:space="preserve">Registration </w:t>
            </w:r>
          </w:p>
          <w:p w14:paraId="24AD95E2" w14:textId="77777777" w:rsidR="00F50D3A" w:rsidRDefault="00395364">
            <w:pPr>
              <w:spacing w:after="0" w:line="259" w:lineRule="auto"/>
              <w:ind w:left="1" w:firstLine="0"/>
            </w:pPr>
            <w:r>
              <w:t xml:space="preserve">Number </w:t>
            </w:r>
          </w:p>
        </w:tc>
        <w:tc>
          <w:tcPr>
            <w:tcW w:w="1661" w:type="dxa"/>
            <w:gridSpan w:val="2"/>
            <w:tcBorders>
              <w:top w:val="single" w:sz="4" w:space="0" w:color="82D1F1"/>
              <w:left w:val="single" w:sz="4" w:space="0" w:color="82D1F1"/>
              <w:bottom w:val="single" w:sz="4" w:space="0" w:color="82D1F1"/>
              <w:right w:val="single" w:sz="4" w:space="0" w:color="82D1F1"/>
            </w:tcBorders>
          </w:tcPr>
          <w:p w14:paraId="325BBB92" w14:textId="77777777" w:rsidR="00F50D3A" w:rsidRDefault="00395364">
            <w:pPr>
              <w:spacing w:after="0" w:line="259" w:lineRule="auto"/>
              <w:ind w:left="1" w:firstLine="0"/>
            </w:pPr>
            <w:r>
              <w:t xml:space="preserve">Universal class Vehicle licence plate </w:t>
            </w:r>
          </w:p>
        </w:tc>
        <w:tc>
          <w:tcPr>
            <w:tcW w:w="1531" w:type="dxa"/>
            <w:tcBorders>
              <w:top w:val="single" w:sz="4" w:space="0" w:color="82D1F1"/>
              <w:left w:val="single" w:sz="4" w:space="0" w:color="82D1F1"/>
              <w:bottom w:val="single" w:sz="4" w:space="0" w:color="82D1F1"/>
              <w:right w:val="single" w:sz="4" w:space="0" w:color="82D1F1"/>
            </w:tcBorders>
          </w:tcPr>
          <w:p w14:paraId="043799EC" w14:textId="77777777" w:rsidR="00F50D3A" w:rsidRDefault="00395364">
            <w:pPr>
              <w:spacing w:after="0" w:line="259" w:lineRule="auto"/>
              <w:ind w:left="1" w:firstLine="0"/>
            </w:pPr>
            <w:r>
              <w:t xml:space="preserve">integer </w:t>
            </w:r>
            <w:proofErr w:type="spellStart"/>
            <w:r>
              <w:t>nvarchar</w:t>
            </w:r>
            <w:proofErr w:type="spellEnd"/>
            <w:r>
              <w:t xml:space="preserve">(100) </w:t>
            </w:r>
          </w:p>
        </w:tc>
        <w:tc>
          <w:tcPr>
            <w:tcW w:w="1396" w:type="dxa"/>
            <w:tcBorders>
              <w:top w:val="single" w:sz="4" w:space="0" w:color="82D1F1"/>
              <w:left w:val="single" w:sz="4" w:space="0" w:color="82D1F1"/>
              <w:bottom w:val="single" w:sz="4" w:space="0" w:color="82D1F1"/>
              <w:right w:val="single" w:sz="4" w:space="0" w:color="82D1F1"/>
            </w:tcBorders>
          </w:tcPr>
          <w:p w14:paraId="6418A9F4" w14:textId="77777777" w:rsidR="00F50D3A" w:rsidRDefault="00F50D3A">
            <w:pPr>
              <w:spacing w:after="160" w:line="259" w:lineRule="auto"/>
              <w:ind w:left="0" w:firstLine="0"/>
            </w:pPr>
          </w:p>
        </w:tc>
      </w:tr>
      <w:tr w:rsidR="00F50D3A" w14:paraId="0C495DD0" w14:textId="77777777">
        <w:trPr>
          <w:trHeight w:val="1451"/>
        </w:trPr>
        <w:tc>
          <w:tcPr>
            <w:tcW w:w="1457" w:type="dxa"/>
            <w:tcBorders>
              <w:top w:val="single" w:sz="4" w:space="0" w:color="82D1F1"/>
              <w:left w:val="single" w:sz="4" w:space="0" w:color="82D1F1"/>
              <w:bottom w:val="single" w:sz="4" w:space="0" w:color="82D1F1"/>
              <w:right w:val="single" w:sz="4" w:space="0" w:color="82D1F1"/>
            </w:tcBorders>
            <w:shd w:val="clear" w:color="auto" w:fill="D5EFFA"/>
          </w:tcPr>
          <w:p w14:paraId="39EF99CE" w14:textId="77777777" w:rsidR="00F50D3A" w:rsidRDefault="00395364">
            <w:pPr>
              <w:spacing w:after="0" w:line="259" w:lineRule="auto"/>
              <w:ind w:left="0" w:firstLine="0"/>
            </w:pPr>
            <w:r>
              <w:rPr>
                <w:b/>
              </w:rPr>
              <w:t xml:space="preserve">Black </w:t>
            </w:r>
          </w:p>
        </w:tc>
        <w:tc>
          <w:tcPr>
            <w:tcW w:w="1465" w:type="dxa"/>
            <w:tcBorders>
              <w:top w:val="single" w:sz="4" w:space="0" w:color="82D1F1"/>
              <w:left w:val="single" w:sz="4" w:space="0" w:color="82D1F1"/>
              <w:bottom w:val="single" w:sz="4" w:space="0" w:color="82D1F1"/>
              <w:right w:val="single" w:sz="4" w:space="0" w:color="82D1F1"/>
            </w:tcBorders>
            <w:shd w:val="clear" w:color="auto" w:fill="D5EFFA"/>
          </w:tcPr>
          <w:p w14:paraId="37EC54CB" w14:textId="77777777" w:rsidR="00F50D3A" w:rsidRDefault="00395364">
            <w:pPr>
              <w:numPr>
                <w:ilvl w:val="0"/>
                <w:numId w:val="7"/>
              </w:numPr>
              <w:spacing w:after="0" w:line="259" w:lineRule="auto"/>
              <w:ind w:hanging="89"/>
            </w:pPr>
            <w:r>
              <w:t xml:space="preserve">cm </w:t>
            </w:r>
          </w:p>
          <w:p w14:paraId="007DCB3D" w14:textId="77777777" w:rsidR="00F50D3A" w:rsidRDefault="00395364">
            <w:pPr>
              <w:numPr>
                <w:ilvl w:val="0"/>
                <w:numId w:val="7"/>
              </w:numPr>
              <w:spacing w:after="0" w:line="259" w:lineRule="auto"/>
              <w:ind w:hanging="89"/>
            </w:pPr>
            <w:proofErr w:type="spellStart"/>
            <w:r>
              <w:t>obu</w:t>
            </w:r>
            <w:proofErr w:type="spellEnd"/>
            <w:r>
              <w:t xml:space="preserve">  </w:t>
            </w:r>
          </w:p>
          <w:p w14:paraId="74EA8E51" w14:textId="77777777" w:rsidR="00F50D3A" w:rsidRDefault="00395364">
            <w:pPr>
              <w:numPr>
                <w:ilvl w:val="0"/>
                <w:numId w:val="7"/>
              </w:numPr>
              <w:spacing w:after="0" w:line="259" w:lineRule="auto"/>
              <w:ind w:hanging="89"/>
            </w:pPr>
            <w:proofErr w:type="spellStart"/>
            <w:r>
              <w:t>rs</w:t>
            </w:r>
            <w:proofErr w:type="spellEnd"/>
            <w:r>
              <w:t xml:space="preserve"> </w:t>
            </w:r>
          </w:p>
        </w:tc>
        <w:tc>
          <w:tcPr>
            <w:tcW w:w="1505" w:type="dxa"/>
            <w:gridSpan w:val="2"/>
            <w:tcBorders>
              <w:top w:val="single" w:sz="4" w:space="0" w:color="82D1F1"/>
              <w:left w:val="single" w:sz="4" w:space="0" w:color="82D1F1"/>
              <w:bottom w:val="single" w:sz="4" w:space="0" w:color="82D1F1"/>
              <w:right w:val="single" w:sz="4" w:space="0" w:color="82D1F1"/>
            </w:tcBorders>
            <w:shd w:val="clear" w:color="auto" w:fill="D5EFFA"/>
          </w:tcPr>
          <w:p w14:paraId="6562AB3E" w14:textId="77777777" w:rsidR="00F50D3A" w:rsidRDefault="00395364">
            <w:pPr>
              <w:spacing w:after="0" w:line="259" w:lineRule="auto"/>
              <w:ind w:left="1" w:firstLine="0"/>
            </w:pPr>
            <w:r>
              <w:t xml:space="preserve">Context Mark </w:t>
            </w:r>
          </w:p>
          <w:p w14:paraId="15504B9C" w14:textId="77777777" w:rsidR="00F50D3A" w:rsidRDefault="00395364">
            <w:pPr>
              <w:spacing w:after="0" w:line="259" w:lineRule="auto"/>
              <w:ind w:left="1" w:firstLine="0"/>
            </w:pPr>
            <w:r>
              <w:t xml:space="preserve">OBU </w:t>
            </w:r>
          </w:p>
          <w:p w14:paraId="44714A3B" w14:textId="77777777" w:rsidR="00F50D3A" w:rsidRDefault="00395364">
            <w:pPr>
              <w:spacing w:after="0" w:line="259" w:lineRule="auto"/>
              <w:ind w:left="1" w:firstLine="0"/>
            </w:pPr>
            <w:r>
              <w:t xml:space="preserve"> Reason </w:t>
            </w:r>
          </w:p>
        </w:tc>
        <w:tc>
          <w:tcPr>
            <w:tcW w:w="1661" w:type="dxa"/>
            <w:gridSpan w:val="2"/>
            <w:tcBorders>
              <w:top w:val="single" w:sz="4" w:space="0" w:color="82D1F1"/>
              <w:left w:val="single" w:sz="4" w:space="0" w:color="82D1F1"/>
              <w:bottom w:val="single" w:sz="4" w:space="0" w:color="82D1F1"/>
              <w:right w:val="single" w:sz="4" w:space="0" w:color="82D1F1"/>
            </w:tcBorders>
            <w:shd w:val="clear" w:color="auto" w:fill="D5EFFA"/>
          </w:tcPr>
          <w:p w14:paraId="493999DE" w14:textId="77777777" w:rsidR="00F50D3A" w:rsidRDefault="00395364">
            <w:pPr>
              <w:spacing w:after="0" w:line="259" w:lineRule="auto"/>
              <w:ind w:left="1" w:firstLine="0"/>
            </w:pPr>
            <w:r>
              <w:t xml:space="preserve">Unique issuer identifier Unique OBU identifier Reason code for black listing </w:t>
            </w:r>
          </w:p>
        </w:tc>
        <w:tc>
          <w:tcPr>
            <w:tcW w:w="1531" w:type="dxa"/>
            <w:tcBorders>
              <w:top w:val="single" w:sz="4" w:space="0" w:color="82D1F1"/>
              <w:left w:val="single" w:sz="4" w:space="0" w:color="82D1F1"/>
              <w:bottom w:val="single" w:sz="4" w:space="0" w:color="82D1F1"/>
              <w:right w:val="single" w:sz="4" w:space="0" w:color="82D1F1"/>
            </w:tcBorders>
            <w:shd w:val="clear" w:color="auto" w:fill="D5EFFA"/>
          </w:tcPr>
          <w:p w14:paraId="41D0AAB9" w14:textId="77777777" w:rsidR="00F50D3A" w:rsidRDefault="00395364">
            <w:pPr>
              <w:spacing w:after="0" w:line="259" w:lineRule="auto"/>
              <w:ind w:left="1" w:firstLine="0"/>
            </w:pPr>
            <w:proofErr w:type="spellStart"/>
            <w:r>
              <w:t>nvarchar</w:t>
            </w:r>
            <w:proofErr w:type="spellEnd"/>
            <w:r>
              <w:t xml:space="preserve">(25) </w:t>
            </w:r>
            <w:proofErr w:type="spellStart"/>
            <w:r>
              <w:t>nvarchar</w:t>
            </w:r>
            <w:proofErr w:type="spellEnd"/>
            <w:r>
              <w:t xml:space="preserve">(25) </w:t>
            </w:r>
            <w:proofErr w:type="spellStart"/>
            <w:r>
              <w:t>nvarchar</w:t>
            </w:r>
            <w:proofErr w:type="spellEnd"/>
            <w:r>
              <w:t xml:space="preserve">(256) </w:t>
            </w:r>
          </w:p>
        </w:tc>
        <w:tc>
          <w:tcPr>
            <w:tcW w:w="1396" w:type="dxa"/>
            <w:tcBorders>
              <w:top w:val="single" w:sz="4" w:space="0" w:color="82D1F1"/>
              <w:left w:val="single" w:sz="4" w:space="0" w:color="82D1F1"/>
              <w:bottom w:val="single" w:sz="4" w:space="0" w:color="82D1F1"/>
              <w:right w:val="single" w:sz="4" w:space="0" w:color="82D1F1"/>
            </w:tcBorders>
            <w:shd w:val="clear" w:color="auto" w:fill="D5EFFA"/>
          </w:tcPr>
          <w:p w14:paraId="7D324336" w14:textId="77777777" w:rsidR="00F50D3A" w:rsidRDefault="00395364">
            <w:pPr>
              <w:spacing w:after="0" w:line="259" w:lineRule="auto"/>
              <w:ind w:left="1" w:firstLine="0"/>
            </w:pPr>
            <w:r>
              <w:t xml:space="preserve">Hourly </w:t>
            </w:r>
          </w:p>
        </w:tc>
      </w:tr>
    </w:tbl>
    <w:p w14:paraId="75A0BD51" w14:textId="77777777" w:rsidR="00F50D3A" w:rsidRDefault="00395364">
      <w:pPr>
        <w:spacing w:after="0" w:line="259" w:lineRule="auto"/>
        <w:ind w:left="0" w:firstLine="0"/>
      </w:pPr>
      <w:r>
        <w:t xml:space="preserve"> </w:t>
      </w:r>
    </w:p>
    <w:p w14:paraId="328BB494" w14:textId="77777777" w:rsidR="00F50D3A" w:rsidRDefault="00395364">
      <w:pPr>
        <w:ind w:left="-5"/>
      </w:pPr>
      <w:r>
        <w:t xml:space="preserve">The M50 system also provides an ETC Grey List for tags belonging to pre-paid </w:t>
      </w:r>
      <w:proofErr w:type="spellStart"/>
      <w:r>
        <w:t>eFlow</w:t>
      </w:r>
      <w:proofErr w:type="spellEnd"/>
      <w:r>
        <w:t xml:space="preserve"> accounts which can indicate “low balance” to the Service User. However, in the context of another TSP operating on the M50 toll road, the Consolidated ETC Grey List has no value as, unlike other toll roads, it is not possible to provide an indication to the Service User of the low balance as they pass through the toll point. For completeness, the following table details the mandatory content, schedule and update frequency for the ETC Grey List. </w:t>
      </w:r>
    </w:p>
    <w:p w14:paraId="349B57D3" w14:textId="77777777" w:rsidR="00F50D3A" w:rsidRDefault="00395364">
      <w:pPr>
        <w:spacing w:after="0" w:line="259" w:lineRule="auto"/>
        <w:ind w:left="0" w:firstLine="0"/>
      </w:pPr>
      <w:r>
        <w:t xml:space="preserve"> </w:t>
      </w:r>
    </w:p>
    <w:tbl>
      <w:tblPr>
        <w:tblStyle w:val="TableGrid"/>
        <w:tblW w:w="9014" w:type="dxa"/>
        <w:tblInd w:w="6" w:type="dxa"/>
        <w:tblCellMar>
          <w:top w:w="5" w:type="dxa"/>
          <w:left w:w="71" w:type="dxa"/>
          <w:bottom w:w="4" w:type="dxa"/>
          <w:right w:w="22" w:type="dxa"/>
        </w:tblCellMar>
        <w:tblLook w:val="04A0" w:firstRow="1" w:lastRow="0" w:firstColumn="1" w:lastColumn="0" w:noHBand="0" w:noVBand="1"/>
      </w:tblPr>
      <w:tblGrid>
        <w:gridCol w:w="1326"/>
        <w:gridCol w:w="1371"/>
        <w:gridCol w:w="99"/>
        <w:gridCol w:w="1343"/>
        <w:gridCol w:w="1539"/>
        <w:gridCol w:w="1533"/>
        <w:gridCol w:w="1803"/>
      </w:tblGrid>
      <w:tr w:rsidR="00F50D3A" w14:paraId="34AA3E47" w14:textId="77777777">
        <w:trPr>
          <w:trHeight w:val="492"/>
        </w:trPr>
        <w:tc>
          <w:tcPr>
            <w:tcW w:w="1364" w:type="dxa"/>
            <w:tcBorders>
              <w:top w:val="single" w:sz="4" w:space="0" w:color="82D1F1"/>
              <w:left w:val="single" w:sz="4" w:space="0" w:color="82D1F1"/>
              <w:bottom w:val="single" w:sz="12" w:space="0" w:color="82D1F1"/>
              <w:right w:val="nil"/>
            </w:tcBorders>
            <w:vAlign w:val="bottom"/>
          </w:tcPr>
          <w:p w14:paraId="46850D1F" w14:textId="77777777" w:rsidR="00F50D3A" w:rsidRDefault="00395364">
            <w:pPr>
              <w:spacing w:after="0" w:line="259" w:lineRule="auto"/>
              <w:ind w:left="36" w:firstLine="0"/>
            </w:pPr>
            <w:r>
              <w:rPr>
                <w:b/>
                <w:color w:val="2FB4E9"/>
                <w:sz w:val="28"/>
              </w:rPr>
              <w:t xml:space="preserve">List </w:t>
            </w:r>
          </w:p>
        </w:tc>
        <w:tc>
          <w:tcPr>
            <w:tcW w:w="1380" w:type="dxa"/>
            <w:tcBorders>
              <w:top w:val="single" w:sz="4" w:space="0" w:color="82D1F1"/>
              <w:left w:val="nil"/>
              <w:bottom w:val="single" w:sz="12" w:space="0" w:color="82D1F1"/>
              <w:right w:val="nil"/>
            </w:tcBorders>
          </w:tcPr>
          <w:p w14:paraId="7955456F" w14:textId="77777777" w:rsidR="00F50D3A" w:rsidRDefault="00F50D3A">
            <w:pPr>
              <w:spacing w:after="160" w:line="259" w:lineRule="auto"/>
              <w:ind w:left="0" w:firstLine="0"/>
            </w:pPr>
          </w:p>
        </w:tc>
        <w:tc>
          <w:tcPr>
            <w:tcW w:w="74" w:type="dxa"/>
            <w:tcBorders>
              <w:top w:val="single" w:sz="4" w:space="0" w:color="82D1F1"/>
              <w:left w:val="nil"/>
              <w:bottom w:val="single" w:sz="12" w:space="0" w:color="82D1F1"/>
              <w:right w:val="single" w:sz="4" w:space="0" w:color="82D1F1"/>
            </w:tcBorders>
          </w:tcPr>
          <w:p w14:paraId="5755B819" w14:textId="77777777" w:rsidR="00F50D3A" w:rsidRDefault="00F50D3A">
            <w:pPr>
              <w:spacing w:after="160" w:line="259" w:lineRule="auto"/>
              <w:ind w:left="0" w:firstLine="0"/>
            </w:pPr>
          </w:p>
        </w:tc>
        <w:tc>
          <w:tcPr>
            <w:tcW w:w="1357" w:type="dxa"/>
            <w:tcBorders>
              <w:top w:val="single" w:sz="4" w:space="0" w:color="82D1F1"/>
              <w:left w:val="single" w:sz="4" w:space="0" w:color="82D1F1"/>
              <w:bottom w:val="single" w:sz="12" w:space="0" w:color="82D1F1"/>
              <w:right w:val="nil"/>
            </w:tcBorders>
          </w:tcPr>
          <w:p w14:paraId="0E846BD4" w14:textId="77777777" w:rsidR="00F50D3A" w:rsidRDefault="00395364">
            <w:pPr>
              <w:spacing w:after="0" w:line="259" w:lineRule="auto"/>
              <w:ind w:left="37" w:firstLine="0"/>
            </w:pPr>
            <w:r>
              <w:rPr>
                <w:b/>
                <w:color w:val="2FB4E9"/>
                <w:sz w:val="28"/>
              </w:rPr>
              <w:t xml:space="preserve">Content </w:t>
            </w:r>
          </w:p>
        </w:tc>
        <w:tc>
          <w:tcPr>
            <w:tcW w:w="1562" w:type="dxa"/>
            <w:tcBorders>
              <w:top w:val="single" w:sz="4" w:space="0" w:color="82D1F1"/>
              <w:left w:val="nil"/>
              <w:bottom w:val="single" w:sz="12" w:space="0" w:color="82D1F1"/>
              <w:right w:val="single" w:sz="4" w:space="0" w:color="82D1F1"/>
            </w:tcBorders>
          </w:tcPr>
          <w:p w14:paraId="09296834" w14:textId="77777777" w:rsidR="00F50D3A" w:rsidRDefault="00F50D3A">
            <w:pPr>
              <w:spacing w:after="160" w:line="259" w:lineRule="auto"/>
              <w:ind w:left="0" w:firstLine="0"/>
            </w:pPr>
          </w:p>
        </w:tc>
        <w:tc>
          <w:tcPr>
            <w:tcW w:w="1439" w:type="dxa"/>
            <w:tcBorders>
              <w:top w:val="single" w:sz="4" w:space="0" w:color="82D1F1"/>
              <w:left w:val="single" w:sz="4" w:space="0" w:color="82D1F1"/>
              <w:bottom w:val="single" w:sz="12" w:space="0" w:color="82D1F1"/>
              <w:right w:val="nil"/>
            </w:tcBorders>
          </w:tcPr>
          <w:p w14:paraId="148F519C" w14:textId="77777777" w:rsidR="00F50D3A" w:rsidRDefault="00395364">
            <w:pPr>
              <w:spacing w:after="0" w:line="259" w:lineRule="auto"/>
              <w:ind w:left="0" w:firstLine="0"/>
            </w:pPr>
            <w:r>
              <w:rPr>
                <w:b/>
                <w:color w:val="2FB4E9"/>
                <w:sz w:val="28"/>
              </w:rPr>
              <w:t xml:space="preserve">Update  </w:t>
            </w:r>
          </w:p>
        </w:tc>
        <w:tc>
          <w:tcPr>
            <w:tcW w:w="1837" w:type="dxa"/>
            <w:tcBorders>
              <w:top w:val="single" w:sz="4" w:space="0" w:color="82D1F1"/>
              <w:left w:val="nil"/>
              <w:bottom w:val="single" w:sz="12" w:space="0" w:color="82D1F1"/>
              <w:right w:val="single" w:sz="4" w:space="0" w:color="82D1F1"/>
            </w:tcBorders>
          </w:tcPr>
          <w:p w14:paraId="593A826C" w14:textId="77777777" w:rsidR="00F50D3A" w:rsidRDefault="00F50D3A">
            <w:pPr>
              <w:spacing w:after="160" w:line="259" w:lineRule="auto"/>
              <w:ind w:left="0" w:firstLine="0"/>
            </w:pPr>
          </w:p>
        </w:tc>
      </w:tr>
      <w:tr w:rsidR="00F50D3A" w14:paraId="7BB37E22" w14:textId="77777777">
        <w:trPr>
          <w:trHeight w:val="433"/>
        </w:trPr>
        <w:tc>
          <w:tcPr>
            <w:tcW w:w="1364" w:type="dxa"/>
            <w:tcBorders>
              <w:top w:val="single" w:sz="12" w:space="0" w:color="82D1F1"/>
              <w:left w:val="single" w:sz="4" w:space="0" w:color="82D1F1"/>
              <w:bottom w:val="single" w:sz="4" w:space="0" w:color="82D1F1"/>
              <w:right w:val="single" w:sz="4" w:space="0" w:color="82D1F1"/>
            </w:tcBorders>
            <w:shd w:val="clear" w:color="auto" w:fill="D5EFFA"/>
            <w:vAlign w:val="bottom"/>
          </w:tcPr>
          <w:p w14:paraId="022409DB" w14:textId="77777777" w:rsidR="00F50D3A" w:rsidRDefault="00395364">
            <w:pPr>
              <w:spacing w:after="0" w:line="259" w:lineRule="auto"/>
              <w:ind w:left="36" w:firstLine="0"/>
            </w:pPr>
            <w:r>
              <w:rPr>
                <w:b/>
              </w:rPr>
              <w:t xml:space="preserve">Type </w:t>
            </w:r>
          </w:p>
        </w:tc>
        <w:tc>
          <w:tcPr>
            <w:tcW w:w="1380" w:type="dxa"/>
            <w:tcBorders>
              <w:top w:val="single" w:sz="12" w:space="0" w:color="82D1F1"/>
              <w:left w:val="single" w:sz="4" w:space="0" w:color="82D1F1"/>
              <w:bottom w:val="single" w:sz="4" w:space="0" w:color="82D1F1"/>
              <w:right w:val="single" w:sz="4" w:space="0" w:color="82D1F1"/>
            </w:tcBorders>
            <w:shd w:val="clear" w:color="auto" w:fill="D5EFFA"/>
          </w:tcPr>
          <w:p w14:paraId="3B9AC4CA" w14:textId="77777777" w:rsidR="00F50D3A" w:rsidRDefault="00395364">
            <w:pPr>
              <w:spacing w:after="0" w:line="259" w:lineRule="auto"/>
              <w:ind w:left="37" w:firstLine="0"/>
            </w:pPr>
            <w:r>
              <w:t xml:space="preserve">Tag Name </w:t>
            </w:r>
          </w:p>
        </w:tc>
        <w:tc>
          <w:tcPr>
            <w:tcW w:w="1432" w:type="dxa"/>
            <w:gridSpan w:val="2"/>
            <w:tcBorders>
              <w:top w:val="single" w:sz="12" w:space="0" w:color="82D1F1"/>
              <w:left w:val="single" w:sz="4" w:space="0" w:color="82D1F1"/>
              <w:bottom w:val="single" w:sz="4" w:space="0" w:color="82D1F1"/>
              <w:right w:val="single" w:sz="4" w:space="0" w:color="82D1F1"/>
            </w:tcBorders>
            <w:shd w:val="clear" w:color="auto" w:fill="D5EFFA"/>
          </w:tcPr>
          <w:p w14:paraId="3B7C55FF" w14:textId="77777777" w:rsidR="00F50D3A" w:rsidRDefault="00395364">
            <w:pPr>
              <w:spacing w:after="0" w:line="259" w:lineRule="auto"/>
              <w:ind w:left="37" w:firstLine="0"/>
            </w:pPr>
            <w:r>
              <w:t xml:space="preserve">Full Name </w:t>
            </w:r>
          </w:p>
        </w:tc>
        <w:tc>
          <w:tcPr>
            <w:tcW w:w="1562" w:type="dxa"/>
            <w:tcBorders>
              <w:top w:val="single" w:sz="12" w:space="0" w:color="82D1F1"/>
              <w:left w:val="single" w:sz="4" w:space="0" w:color="82D1F1"/>
              <w:bottom w:val="single" w:sz="4" w:space="0" w:color="82D1F1"/>
              <w:right w:val="single" w:sz="4" w:space="0" w:color="82D1F1"/>
            </w:tcBorders>
            <w:shd w:val="clear" w:color="auto" w:fill="D5EFFA"/>
          </w:tcPr>
          <w:p w14:paraId="2BFBF599" w14:textId="77777777" w:rsidR="00F50D3A" w:rsidRDefault="00395364">
            <w:pPr>
              <w:spacing w:after="0" w:line="259" w:lineRule="auto"/>
              <w:ind w:left="38" w:firstLine="0"/>
            </w:pPr>
            <w:r>
              <w:t xml:space="preserve">Comment  </w:t>
            </w:r>
          </w:p>
        </w:tc>
        <w:tc>
          <w:tcPr>
            <w:tcW w:w="1439" w:type="dxa"/>
            <w:tcBorders>
              <w:top w:val="single" w:sz="12" w:space="0" w:color="82D1F1"/>
              <w:left w:val="single" w:sz="4" w:space="0" w:color="82D1F1"/>
              <w:bottom w:val="single" w:sz="4" w:space="0" w:color="82D1F1"/>
              <w:right w:val="single" w:sz="4" w:space="0" w:color="82D1F1"/>
            </w:tcBorders>
            <w:shd w:val="clear" w:color="auto" w:fill="D5EFFA"/>
          </w:tcPr>
          <w:p w14:paraId="7C09BFE0" w14:textId="77777777" w:rsidR="00F50D3A" w:rsidRDefault="00395364">
            <w:pPr>
              <w:spacing w:after="0" w:line="259" w:lineRule="auto"/>
              <w:ind w:left="70" w:firstLine="0"/>
            </w:pPr>
            <w:r>
              <w:t xml:space="preserve">Field Type </w:t>
            </w:r>
          </w:p>
        </w:tc>
        <w:tc>
          <w:tcPr>
            <w:tcW w:w="1837" w:type="dxa"/>
            <w:tcBorders>
              <w:top w:val="single" w:sz="12" w:space="0" w:color="82D1F1"/>
              <w:left w:val="single" w:sz="4" w:space="0" w:color="82D1F1"/>
              <w:bottom w:val="single" w:sz="4" w:space="0" w:color="82D1F1"/>
              <w:right w:val="single" w:sz="4" w:space="0" w:color="82D1F1"/>
            </w:tcBorders>
            <w:shd w:val="clear" w:color="auto" w:fill="D5EFFA"/>
          </w:tcPr>
          <w:p w14:paraId="1D12F7A7" w14:textId="77777777" w:rsidR="00F50D3A" w:rsidRDefault="00395364">
            <w:pPr>
              <w:spacing w:after="0" w:line="259" w:lineRule="auto"/>
              <w:ind w:left="37" w:firstLine="0"/>
            </w:pPr>
            <w:r>
              <w:t xml:space="preserve">Frequency  </w:t>
            </w:r>
          </w:p>
        </w:tc>
      </w:tr>
      <w:tr w:rsidR="00F50D3A" w14:paraId="2EF5CBCD" w14:textId="77777777">
        <w:trPr>
          <w:trHeight w:val="1741"/>
        </w:trPr>
        <w:tc>
          <w:tcPr>
            <w:tcW w:w="1364" w:type="dxa"/>
            <w:tcBorders>
              <w:top w:val="single" w:sz="4" w:space="0" w:color="82D1F1"/>
              <w:left w:val="single" w:sz="4" w:space="0" w:color="82D1F1"/>
              <w:bottom w:val="single" w:sz="4" w:space="0" w:color="82D1F1"/>
              <w:right w:val="single" w:sz="4" w:space="0" w:color="82D1F1"/>
            </w:tcBorders>
          </w:tcPr>
          <w:p w14:paraId="2FFACE98" w14:textId="77777777" w:rsidR="00F50D3A" w:rsidRDefault="00395364">
            <w:pPr>
              <w:spacing w:after="0" w:line="259" w:lineRule="auto"/>
              <w:ind w:left="36" w:firstLine="0"/>
            </w:pPr>
            <w:r>
              <w:rPr>
                <w:b/>
              </w:rPr>
              <w:t xml:space="preserve">Grey </w:t>
            </w:r>
          </w:p>
        </w:tc>
        <w:tc>
          <w:tcPr>
            <w:tcW w:w="1380" w:type="dxa"/>
            <w:tcBorders>
              <w:top w:val="single" w:sz="4" w:space="0" w:color="82D1F1"/>
              <w:left w:val="single" w:sz="4" w:space="0" w:color="82D1F1"/>
              <w:bottom w:val="single" w:sz="4" w:space="0" w:color="82D1F1"/>
              <w:right w:val="single" w:sz="4" w:space="0" w:color="82D1F1"/>
            </w:tcBorders>
          </w:tcPr>
          <w:p w14:paraId="43D47AF4" w14:textId="77777777" w:rsidR="00F50D3A" w:rsidRDefault="00395364">
            <w:pPr>
              <w:numPr>
                <w:ilvl w:val="0"/>
                <w:numId w:val="8"/>
              </w:numPr>
              <w:spacing w:after="0" w:line="259" w:lineRule="auto"/>
              <w:ind w:hanging="89"/>
            </w:pPr>
            <w:r>
              <w:t xml:space="preserve">cm  </w:t>
            </w:r>
          </w:p>
          <w:p w14:paraId="497DC565" w14:textId="77777777" w:rsidR="00F50D3A" w:rsidRDefault="00395364">
            <w:pPr>
              <w:numPr>
                <w:ilvl w:val="0"/>
                <w:numId w:val="8"/>
              </w:numPr>
              <w:spacing w:after="0" w:line="259" w:lineRule="auto"/>
              <w:ind w:hanging="89"/>
            </w:pPr>
            <w:proofErr w:type="spellStart"/>
            <w:r>
              <w:t>obu</w:t>
            </w:r>
            <w:proofErr w:type="spellEnd"/>
            <w:r>
              <w:t xml:space="preserve">  </w:t>
            </w:r>
          </w:p>
          <w:p w14:paraId="790A9CF6" w14:textId="77777777" w:rsidR="00F50D3A" w:rsidRDefault="00395364">
            <w:pPr>
              <w:numPr>
                <w:ilvl w:val="0"/>
                <w:numId w:val="8"/>
              </w:numPr>
              <w:spacing w:after="0" w:line="259" w:lineRule="auto"/>
              <w:ind w:hanging="89"/>
            </w:pPr>
            <w:proofErr w:type="spellStart"/>
            <w:r>
              <w:t>rs</w:t>
            </w:r>
            <w:proofErr w:type="spellEnd"/>
            <w:r>
              <w:t xml:space="preserve"> </w:t>
            </w:r>
          </w:p>
          <w:p w14:paraId="27349170" w14:textId="77777777" w:rsidR="00F50D3A" w:rsidRDefault="00395364">
            <w:pPr>
              <w:spacing w:after="0" w:line="259" w:lineRule="auto"/>
              <w:ind w:left="37" w:firstLine="0"/>
            </w:pPr>
            <w:r>
              <w:t xml:space="preserve"> </w:t>
            </w:r>
          </w:p>
        </w:tc>
        <w:tc>
          <w:tcPr>
            <w:tcW w:w="1432" w:type="dxa"/>
            <w:gridSpan w:val="2"/>
            <w:tcBorders>
              <w:top w:val="single" w:sz="4" w:space="0" w:color="82D1F1"/>
              <w:left w:val="single" w:sz="4" w:space="0" w:color="82D1F1"/>
              <w:bottom w:val="single" w:sz="4" w:space="0" w:color="82D1F1"/>
              <w:right w:val="single" w:sz="4" w:space="0" w:color="82D1F1"/>
            </w:tcBorders>
          </w:tcPr>
          <w:p w14:paraId="26BC4A22" w14:textId="77777777" w:rsidR="00F50D3A" w:rsidRDefault="00395364">
            <w:pPr>
              <w:spacing w:after="0" w:line="259" w:lineRule="auto"/>
              <w:ind w:left="37" w:firstLine="0"/>
            </w:pPr>
            <w:r>
              <w:t xml:space="preserve">Context Mark </w:t>
            </w:r>
          </w:p>
          <w:p w14:paraId="2074C907" w14:textId="77777777" w:rsidR="00F50D3A" w:rsidRDefault="00395364">
            <w:pPr>
              <w:spacing w:after="0" w:line="259" w:lineRule="auto"/>
              <w:ind w:left="37" w:firstLine="0"/>
            </w:pPr>
            <w:r>
              <w:t xml:space="preserve">OBU  </w:t>
            </w:r>
          </w:p>
          <w:p w14:paraId="3B50E0BE" w14:textId="77777777" w:rsidR="00F50D3A" w:rsidRDefault="00395364">
            <w:pPr>
              <w:spacing w:after="0" w:line="259" w:lineRule="auto"/>
              <w:ind w:left="37" w:firstLine="0"/>
            </w:pPr>
            <w:r>
              <w:t xml:space="preserve">Reason </w:t>
            </w:r>
          </w:p>
        </w:tc>
        <w:tc>
          <w:tcPr>
            <w:tcW w:w="1562" w:type="dxa"/>
            <w:tcBorders>
              <w:top w:val="single" w:sz="4" w:space="0" w:color="82D1F1"/>
              <w:left w:val="single" w:sz="4" w:space="0" w:color="82D1F1"/>
              <w:bottom w:val="single" w:sz="4" w:space="0" w:color="82D1F1"/>
              <w:right w:val="single" w:sz="4" w:space="0" w:color="82D1F1"/>
            </w:tcBorders>
          </w:tcPr>
          <w:p w14:paraId="28CAB2A4" w14:textId="77777777" w:rsidR="00F50D3A" w:rsidRDefault="00395364">
            <w:pPr>
              <w:spacing w:after="0" w:line="236" w:lineRule="auto"/>
              <w:ind w:left="38" w:firstLine="0"/>
            </w:pPr>
            <w:r>
              <w:t xml:space="preserve">Unique issuer identifier </w:t>
            </w:r>
          </w:p>
          <w:p w14:paraId="0333FA59" w14:textId="77777777" w:rsidR="00F50D3A" w:rsidRDefault="00395364">
            <w:pPr>
              <w:spacing w:after="0" w:line="259" w:lineRule="auto"/>
              <w:ind w:left="38" w:firstLine="0"/>
            </w:pPr>
            <w:r>
              <w:t xml:space="preserve">Unique OBU </w:t>
            </w:r>
          </w:p>
          <w:p w14:paraId="7C17E7B8" w14:textId="77777777" w:rsidR="00F50D3A" w:rsidRDefault="00395364">
            <w:pPr>
              <w:spacing w:after="0" w:line="259" w:lineRule="auto"/>
              <w:ind w:left="38" w:firstLine="0"/>
            </w:pPr>
            <w:r>
              <w:t xml:space="preserve">identifier </w:t>
            </w:r>
          </w:p>
          <w:p w14:paraId="3C217150" w14:textId="77777777" w:rsidR="00F50D3A" w:rsidRDefault="00395364">
            <w:pPr>
              <w:spacing w:after="0" w:line="259" w:lineRule="auto"/>
              <w:ind w:left="38" w:firstLine="0"/>
              <w:jc w:val="both"/>
            </w:pPr>
            <w:r>
              <w:t xml:space="preserve">Reason code for grey listing </w:t>
            </w:r>
          </w:p>
        </w:tc>
        <w:tc>
          <w:tcPr>
            <w:tcW w:w="1439" w:type="dxa"/>
            <w:tcBorders>
              <w:top w:val="single" w:sz="4" w:space="0" w:color="82D1F1"/>
              <w:left w:val="single" w:sz="4" w:space="0" w:color="82D1F1"/>
              <w:bottom w:val="single" w:sz="4" w:space="0" w:color="82D1F1"/>
              <w:right w:val="single" w:sz="4" w:space="0" w:color="82D1F1"/>
            </w:tcBorders>
          </w:tcPr>
          <w:p w14:paraId="6A04D104" w14:textId="77777777" w:rsidR="00F50D3A" w:rsidRDefault="00395364">
            <w:pPr>
              <w:spacing w:after="0" w:line="259" w:lineRule="auto"/>
              <w:ind w:left="70" w:firstLine="0"/>
            </w:pPr>
            <w:proofErr w:type="spellStart"/>
            <w:r>
              <w:t>nvarchar</w:t>
            </w:r>
            <w:proofErr w:type="spellEnd"/>
            <w:r>
              <w:t xml:space="preserve">(25) </w:t>
            </w:r>
            <w:proofErr w:type="spellStart"/>
            <w:r>
              <w:t>nvarchar</w:t>
            </w:r>
            <w:proofErr w:type="spellEnd"/>
            <w:r>
              <w:t xml:space="preserve">(25)  </w:t>
            </w:r>
            <w:proofErr w:type="spellStart"/>
            <w:r>
              <w:t>nvarchar</w:t>
            </w:r>
            <w:proofErr w:type="spellEnd"/>
            <w:r>
              <w:t xml:space="preserve">(256) </w:t>
            </w:r>
          </w:p>
        </w:tc>
        <w:tc>
          <w:tcPr>
            <w:tcW w:w="1837" w:type="dxa"/>
            <w:tcBorders>
              <w:top w:val="single" w:sz="4" w:space="0" w:color="82D1F1"/>
              <w:left w:val="single" w:sz="4" w:space="0" w:color="82D1F1"/>
              <w:bottom w:val="single" w:sz="4" w:space="0" w:color="82D1F1"/>
              <w:right w:val="single" w:sz="4" w:space="0" w:color="82D1F1"/>
            </w:tcBorders>
          </w:tcPr>
          <w:p w14:paraId="55D3872E" w14:textId="77777777" w:rsidR="00F50D3A" w:rsidRDefault="00395364">
            <w:pPr>
              <w:spacing w:after="0" w:line="259" w:lineRule="auto"/>
              <w:ind w:left="37" w:firstLine="0"/>
            </w:pPr>
            <w:r>
              <w:t xml:space="preserve">Hourly </w:t>
            </w:r>
          </w:p>
        </w:tc>
      </w:tr>
    </w:tbl>
    <w:p w14:paraId="26983404" w14:textId="77777777" w:rsidR="00F50D3A" w:rsidRDefault="00395364">
      <w:pPr>
        <w:spacing w:after="142" w:line="259" w:lineRule="auto"/>
        <w:ind w:left="0" w:firstLine="0"/>
      </w:pPr>
      <w:r>
        <w:t xml:space="preserve"> </w:t>
      </w:r>
    </w:p>
    <w:p w14:paraId="38104E4D" w14:textId="77777777" w:rsidR="00F50D3A" w:rsidRDefault="00395364">
      <w:pPr>
        <w:pStyle w:val="Heading2"/>
        <w:ind w:left="-5"/>
      </w:pPr>
      <w:r>
        <w:lastRenderedPageBreak/>
        <w:t xml:space="preserve">2.2 Procedures and Services Level Agreement  </w:t>
      </w:r>
    </w:p>
    <w:p w14:paraId="6498B96F" w14:textId="77777777" w:rsidR="00F50D3A" w:rsidRDefault="00395364">
      <w:pPr>
        <w:spacing w:after="0" w:line="259" w:lineRule="auto"/>
        <w:ind w:left="0" w:firstLine="0"/>
      </w:pPr>
      <w:r>
        <w:t xml:space="preserve"> </w:t>
      </w:r>
    </w:p>
    <w:tbl>
      <w:tblPr>
        <w:tblStyle w:val="TableGrid"/>
        <w:tblW w:w="9014" w:type="dxa"/>
        <w:tblInd w:w="6" w:type="dxa"/>
        <w:tblCellMar>
          <w:top w:w="3" w:type="dxa"/>
          <w:left w:w="107" w:type="dxa"/>
          <w:bottom w:w="4" w:type="dxa"/>
          <w:right w:w="61" w:type="dxa"/>
        </w:tblCellMar>
        <w:tblLook w:val="04A0" w:firstRow="1" w:lastRow="0" w:firstColumn="1" w:lastColumn="0" w:noHBand="0" w:noVBand="1"/>
      </w:tblPr>
      <w:tblGrid>
        <w:gridCol w:w="1298"/>
        <w:gridCol w:w="8752"/>
      </w:tblGrid>
      <w:tr w:rsidR="00F50D3A" w14:paraId="7445CBA5" w14:textId="77777777">
        <w:trPr>
          <w:trHeight w:val="479"/>
        </w:trPr>
        <w:tc>
          <w:tcPr>
            <w:tcW w:w="1280" w:type="dxa"/>
            <w:tcBorders>
              <w:top w:val="single" w:sz="4" w:space="0" w:color="82D1F1"/>
              <w:left w:val="single" w:sz="4" w:space="0" w:color="82D1F1"/>
              <w:bottom w:val="single" w:sz="12" w:space="0" w:color="82D1F1"/>
              <w:right w:val="single" w:sz="4" w:space="0" w:color="82D1F1"/>
            </w:tcBorders>
            <w:vAlign w:val="bottom"/>
          </w:tcPr>
          <w:p w14:paraId="520ED2E1" w14:textId="77777777" w:rsidR="00F50D3A" w:rsidRDefault="00395364">
            <w:pPr>
              <w:spacing w:after="0" w:line="259" w:lineRule="auto"/>
              <w:ind w:left="0" w:firstLine="0"/>
            </w:pPr>
            <w:r>
              <w:rPr>
                <w:color w:val="2FB4E9"/>
                <w:sz w:val="28"/>
              </w:rPr>
              <w:t xml:space="preserve">Section </w:t>
            </w:r>
          </w:p>
        </w:tc>
        <w:tc>
          <w:tcPr>
            <w:tcW w:w="7734" w:type="dxa"/>
            <w:tcBorders>
              <w:top w:val="single" w:sz="4" w:space="0" w:color="82D1F1"/>
              <w:left w:val="single" w:sz="4" w:space="0" w:color="82D1F1"/>
              <w:bottom w:val="single" w:sz="12" w:space="0" w:color="82D1F1"/>
              <w:right w:val="single" w:sz="4" w:space="0" w:color="82D1F1"/>
            </w:tcBorders>
          </w:tcPr>
          <w:p w14:paraId="1DBCEFBC" w14:textId="77777777" w:rsidR="00F50D3A" w:rsidRDefault="00395364">
            <w:pPr>
              <w:spacing w:after="0" w:line="259" w:lineRule="auto"/>
              <w:ind w:left="1" w:firstLine="0"/>
            </w:pPr>
            <w:r>
              <w:rPr>
                <w:color w:val="2FB4E9"/>
                <w:sz w:val="28"/>
              </w:rPr>
              <w:t xml:space="preserve">Notes  </w:t>
            </w:r>
          </w:p>
        </w:tc>
      </w:tr>
      <w:tr w:rsidR="00F50D3A" w14:paraId="05C31A9D" w14:textId="77777777">
        <w:trPr>
          <w:trHeight w:val="2734"/>
        </w:trPr>
        <w:tc>
          <w:tcPr>
            <w:tcW w:w="1280" w:type="dxa"/>
            <w:tcBorders>
              <w:top w:val="single" w:sz="12" w:space="0" w:color="82D1F1"/>
              <w:left w:val="single" w:sz="4" w:space="0" w:color="82D1F1"/>
              <w:bottom w:val="single" w:sz="4" w:space="0" w:color="82D1F1"/>
              <w:right w:val="single" w:sz="4" w:space="0" w:color="82D1F1"/>
            </w:tcBorders>
            <w:shd w:val="clear" w:color="auto" w:fill="D5EFFA"/>
          </w:tcPr>
          <w:p w14:paraId="34A27CAB" w14:textId="77777777" w:rsidR="00F50D3A" w:rsidRDefault="00395364">
            <w:pPr>
              <w:spacing w:after="0" w:line="259" w:lineRule="auto"/>
              <w:ind w:left="0" w:firstLine="0"/>
            </w:pPr>
            <w:r>
              <w:rPr>
                <w:b/>
              </w:rPr>
              <w:t xml:space="preserve">Standards and </w:t>
            </w:r>
            <w:proofErr w:type="spellStart"/>
            <w:r>
              <w:rPr>
                <w:b/>
              </w:rPr>
              <w:t>specificatio</w:t>
            </w:r>
            <w:proofErr w:type="spellEnd"/>
            <w:r>
              <w:rPr>
                <w:b/>
              </w:rPr>
              <w:t xml:space="preserve"> ns </w:t>
            </w:r>
          </w:p>
        </w:tc>
        <w:tc>
          <w:tcPr>
            <w:tcW w:w="7734" w:type="dxa"/>
            <w:tcBorders>
              <w:top w:val="single" w:sz="12" w:space="0" w:color="82D1F1"/>
              <w:left w:val="single" w:sz="4" w:space="0" w:color="82D1F1"/>
              <w:bottom w:val="single" w:sz="4" w:space="0" w:color="82D1F1"/>
              <w:right w:val="single" w:sz="4" w:space="0" w:color="82D1F1"/>
            </w:tcBorders>
            <w:shd w:val="clear" w:color="auto" w:fill="D5EFFA"/>
          </w:tcPr>
          <w:p w14:paraId="58956C2F" w14:textId="77777777" w:rsidR="00F50D3A" w:rsidRDefault="00395364">
            <w:pPr>
              <w:spacing w:after="0" w:line="259" w:lineRule="auto"/>
              <w:ind w:left="1" w:firstLine="0"/>
            </w:pPr>
            <w:r>
              <w:t xml:space="preserve">As set out in the IFA and as may be updated by the IMSP. These currently include:  </w:t>
            </w:r>
          </w:p>
          <w:p w14:paraId="77642C86" w14:textId="77777777" w:rsidR="00F50D3A" w:rsidRDefault="00395364">
            <w:pPr>
              <w:numPr>
                <w:ilvl w:val="0"/>
                <w:numId w:val="9"/>
              </w:numPr>
              <w:spacing w:after="0" w:line="259" w:lineRule="auto"/>
              <w:ind w:hanging="89"/>
            </w:pPr>
            <w:r>
              <w:t xml:space="preserve">EU General Data Protection Regulation 2016/679  </w:t>
            </w:r>
          </w:p>
          <w:p w14:paraId="590D0EA2" w14:textId="77777777" w:rsidR="00F50D3A" w:rsidRDefault="00395364">
            <w:pPr>
              <w:numPr>
                <w:ilvl w:val="0"/>
                <w:numId w:val="9"/>
              </w:numPr>
              <w:spacing w:after="0" w:line="259" w:lineRule="auto"/>
              <w:ind w:hanging="89"/>
            </w:pPr>
            <w:r>
              <w:t xml:space="preserve">Data Protection Act 2018  </w:t>
            </w:r>
          </w:p>
          <w:p w14:paraId="64F743BA" w14:textId="77777777" w:rsidR="00F50D3A" w:rsidRDefault="00395364">
            <w:pPr>
              <w:numPr>
                <w:ilvl w:val="0"/>
                <w:numId w:val="9"/>
              </w:numPr>
              <w:spacing w:after="0" w:line="259" w:lineRule="auto"/>
              <w:ind w:hanging="89"/>
            </w:pPr>
            <w:r>
              <w:t xml:space="preserve">ISO 17575 – Electronic Fee Collection  </w:t>
            </w:r>
          </w:p>
          <w:p w14:paraId="7CEE1F77" w14:textId="77777777" w:rsidR="00F50D3A" w:rsidRDefault="00395364">
            <w:pPr>
              <w:numPr>
                <w:ilvl w:val="0"/>
                <w:numId w:val="9"/>
              </w:numPr>
              <w:spacing w:after="0" w:line="259" w:lineRule="auto"/>
              <w:ind w:hanging="89"/>
            </w:pPr>
            <w:r>
              <w:t xml:space="preserve">Roads Act 1993  </w:t>
            </w:r>
          </w:p>
          <w:p w14:paraId="563A23D2" w14:textId="77777777" w:rsidR="00F50D3A" w:rsidRDefault="00395364">
            <w:pPr>
              <w:spacing w:after="0" w:line="259" w:lineRule="auto"/>
              <w:ind w:left="1" w:firstLine="0"/>
            </w:pPr>
            <w:r>
              <w:t xml:space="preserve">The roadside ETC transaction protocols used by the IMSP are:  </w:t>
            </w:r>
          </w:p>
          <w:p w14:paraId="0F7D186B" w14:textId="77777777" w:rsidR="00F50D3A" w:rsidRDefault="00395364">
            <w:pPr>
              <w:numPr>
                <w:ilvl w:val="0"/>
                <w:numId w:val="9"/>
              </w:numPr>
              <w:spacing w:after="0" w:line="259" w:lineRule="auto"/>
              <w:ind w:hanging="89"/>
            </w:pPr>
            <w:r>
              <w:t xml:space="preserve">A1  </w:t>
            </w:r>
          </w:p>
          <w:p w14:paraId="4D1E6E47" w14:textId="77777777" w:rsidR="00F50D3A" w:rsidRDefault="00395364">
            <w:pPr>
              <w:numPr>
                <w:ilvl w:val="0"/>
                <w:numId w:val="9"/>
              </w:numPr>
              <w:spacing w:after="0" w:line="259" w:lineRule="auto"/>
              <w:ind w:hanging="89"/>
            </w:pPr>
            <w:r>
              <w:t xml:space="preserve">CESARE  </w:t>
            </w:r>
          </w:p>
          <w:p w14:paraId="2379767B" w14:textId="77777777" w:rsidR="00F50D3A" w:rsidRDefault="00395364">
            <w:pPr>
              <w:numPr>
                <w:ilvl w:val="0"/>
                <w:numId w:val="9"/>
              </w:numPr>
              <w:spacing w:after="0" w:line="259" w:lineRule="auto"/>
              <w:ind w:hanging="89"/>
            </w:pPr>
            <w:r>
              <w:t xml:space="preserve">TIS </w:t>
            </w:r>
          </w:p>
        </w:tc>
      </w:tr>
      <w:tr w:rsidR="00F50D3A" w14:paraId="6521DBFA" w14:textId="77777777">
        <w:trPr>
          <w:trHeight w:val="997"/>
        </w:trPr>
        <w:tc>
          <w:tcPr>
            <w:tcW w:w="1280" w:type="dxa"/>
            <w:tcBorders>
              <w:top w:val="single" w:sz="4" w:space="0" w:color="82D1F1"/>
              <w:left w:val="single" w:sz="4" w:space="0" w:color="82D1F1"/>
              <w:bottom w:val="single" w:sz="4" w:space="0" w:color="82D1F1"/>
              <w:right w:val="single" w:sz="4" w:space="0" w:color="82D1F1"/>
            </w:tcBorders>
          </w:tcPr>
          <w:p w14:paraId="28E0A8EB" w14:textId="77777777" w:rsidR="00F50D3A" w:rsidRDefault="00395364">
            <w:pPr>
              <w:spacing w:after="0" w:line="259" w:lineRule="auto"/>
              <w:ind w:left="0" w:firstLine="0"/>
            </w:pPr>
            <w:r>
              <w:rPr>
                <w:b/>
              </w:rPr>
              <w:t xml:space="preserve">Frequency of updates </w:t>
            </w:r>
          </w:p>
        </w:tc>
        <w:tc>
          <w:tcPr>
            <w:tcW w:w="7734" w:type="dxa"/>
            <w:tcBorders>
              <w:top w:val="single" w:sz="4" w:space="0" w:color="82D1F1"/>
              <w:left w:val="single" w:sz="4" w:space="0" w:color="82D1F1"/>
              <w:bottom w:val="single" w:sz="4" w:space="0" w:color="82D1F1"/>
              <w:right w:val="single" w:sz="4" w:space="0" w:color="82D1F1"/>
            </w:tcBorders>
          </w:tcPr>
          <w:p w14:paraId="4DBCF578" w14:textId="77777777" w:rsidR="00F50D3A" w:rsidRDefault="00395364">
            <w:pPr>
              <w:spacing w:after="0" w:line="259" w:lineRule="auto"/>
              <w:ind w:left="1" w:firstLine="0"/>
            </w:pPr>
            <w:r>
              <w:t xml:space="preserve">Service Users are to be issued with updates, such as increases in toll rates, to allow for sufficient time for the Service User to become aware of any changes and respond accordingly. </w:t>
            </w:r>
          </w:p>
        </w:tc>
      </w:tr>
      <w:tr w:rsidR="00F50D3A" w14:paraId="24E952C6" w14:textId="77777777">
        <w:trPr>
          <w:trHeight w:val="1570"/>
        </w:trPr>
        <w:tc>
          <w:tcPr>
            <w:tcW w:w="1280" w:type="dxa"/>
            <w:tcBorders>
              <w:top w:val="single" w:sz="4" w:space="0" w:color="82D1F1"/>
              <w:left w:val="single" w:sz="4" w:space="0" w:color="82D1F1"/>
              <w:bottom w:val="single" w:sz="4" w:space="0" w:color="82D1F1"/>
              <w:right w:val="single" w:sz="4" w:space="0" w:color="82D1F1"/>
            </w:tcBorders>
            <w:shd w:val="clear" w:color="auto" w:fill="D5EFFA"/>
          </w:tcPr>
          <w:p w14:paraId="5F00E86D" w14:textId="77777777" w:rsidR="00F50D3A" w:rsidRDefault="00395364">
            <w:pPr>
              <w:spacing w:after="0" w:line="259" w:lineRule="auto"/>
              <w:ind w:left="0" w:firstLine="0"/>
            </w:pPr>
            <w:r>
              <w:rPr>
                <w:b/>
              </w:rPr>
              <w:t xml:space="preserve">Toll charge accuracy </w:t>
            </w:r>
          </w:p>
        </w:tc>
        <w:tc>
          <w:tcPr>
            <w:tcW w:w="7734" w:type="dxa"/>
            <w:tcBorders>
              <w:top w:val="single" w:sz="4" w:space="0" w:color="82D1F1"/>
              <w:left w:val="single" w:sz="4" w:space="0" w:color="82D1F1"/>
              <w:bottom w:val="single" w:sz="4" w:space="0" w:color="82D1F1"/>
              <w:right w:val="single" w:sz="4" w:space="0" w:color="82D1F1"/>
            </w:tcBorders>
            <w:shd w:val="clear" w:color="auto" w:fill="D5EFFA"/>
          </w:tcPr>
          <w:p w14:paraId="40E178EF" w14:textId="4217F254" w:rsidR="00F50D3A" w:rsidRDefault="00395364">
            <w:pPr>
              <w:spacing w:after="0" w:line="259" w:lineRule="auto"/>
              <w:ind w:left="1" w:firstLine="0"/>
            </w:pPr>
            <w:r>
              <w:t>The TSP is responsible for ensuring that any issues with ETC charging are addressed as soon as reasonably possible. Where the TC deems that the TSP is not resolving issues related to toll charge accuracy</w:t>
            </w:r>
            <w:r w:rsidR="001A5F0C" w:rsidRPr="001A5F0C">
              <w:rPr>
                <w:vertAlign w:val="superscript"/>
              </w:rPr>
              <w:t>7</w:t>
            </w:r>
            <w:r>
              <w:t xml:space="preserve"> in reasonable timeframe, they may initiate dispute procedures as outlined overleaf. If deemed necessary accuracy percentages are to be agreed bilaterally and documented in the TCAs between the parties </w:t>
            </w:r>
          </w:p>
        </w:tc>
      </w:tr>
      <w:tr w:rsidR="00F50D3A" w14:paraId="4589CBCC" w14:textId="77777777">
        <w:trPr>
          <w:trHeight w:val="1619"/>
        </w:trPr>
        <w:tc>
          <w:tcPr>
            <w:tcW w:w="1280" w:type="dxa"/>
            <w:tcBorders>
              <w:top w:val="single" w:sz="4" w:space="0" w:color="82D1F1"/>
              <w:left w:val="single" w:sz="4" w:space="0" w:color="82D1F1"/>
              <w:bottom w:val="single" w:sz="4" w:space="0" w:color="82D1F1"/>
              <w:right w:val="single" w:sz="4" w:space="0" w:color="82D1F1"/>
            </w:tcBorders>
            <w:vAlign w:val="bottom"/>
          </w:tcPr>
          <w:p w14:paraId="261949A0" w14:textId="77777777" w:rsidR="00F50D3A" w:rsidRDefault="00395364">
            <w:pPr>
              <w:spacing w:after="0" w:line="259" w:lineRule="auto"/>
              <w:ind w:left="0" w:firstLine="0"/>
            </w:pPr>
            <w:r>
              <w:rPr>
                <w:b/>
              </w:rPr>
              <w:t>Operation</w:t>
            </w:r>
          </w:p>
          <w:p w14:paraId="332A54D8" w14:textId="77777777" w:rsidR="00F50D3A" w:rsidRDefault="00395364">
            <w:pPr>
              <w:spacing w:after="0" w:line="244" w:lineRule="auto"/>
              <w:ind w:left="0" w:firstLine="0"/>
            </w:pPr>
            <w:r>
              <w:rPr>
                <w:b/>
              </w:rPr>
              <w:t xml:space="preserve">al availability </w:t>
            </w:r>
          </w:p>
          <w:p w14:paraId="7A05B483" w14:textId="77777777" w:rsidR="00F50D3A" w:rsidRDefault="00395364">
            <w:pPr>
              <w:spacing w:after="0" w:line="259" w:lineRule="auto"/>
              <w:ind w:left="0" w:firstLine="0"/>
            </w:pPr>
            <w:proofErr w:type="spellStart"/>
            <w:r>
              <w:rPr>
                <w:b/>
              </w:rPr>
              <w:t>performan</w:t>
            </w:r>
            <w:proofErr w:type="spellEnd"/>
          </w:p>
          <w:p w14:paraId="47EB01D2" w14:textId="77777777" w:rsidR="00F50D3A" w:rsidRDefault="00395364">
            <w:pPr>
              <w:spacing w:after="0" w:line="259" w:lineRule="auto"/>
              <w:ind w:left="0" w:firstLine="0"/>
            </w:pPr>
            <w:proofErr w:type="spellStart"/>
            <w:r>
              <w:rPr>
                <w:b/>
              </w:rPr>
              <w:t>ce</w:t>
            </w:r>
            <w:proofErr w:type="spellEnd"/>
            <w:r>
              <w:rPr>
                <w:b/>
              </w:rPr>
              <w:t xml:space="preserve"> </w:t>
            </w:r>
          </w:p>
        </w:tc>
        <w:tc>
          <w:tcPr>
            <w:tcW w:w="7734" w:type="dxa"/>
            <w:tcBorders>
              <w:top w:val="single" w:sz="4" w:space="0" w:color="82D1F1"/>
              <w:left w:val="single" w:sz="4" w:space="0" w:color="82D1F1"/>
              <w:bottom w:val="single" w:sz="4" w:space="0" w:color="82D1F1"/>
              <w:right w:val="single" w:sz="4" w:space="0" w:color="82D1F1"/>
            </w:tcBorders>
          </w:tcPr>
          <w:p w14:paraId="1DB1B56D" w14:textId="77777777" w:rsidR="00F50D3A" w:rsidRDefault="00395364">
            <w:pPr>
              <w:spacing w:after="0" w:line="259" w:lineRule="auto"/>
              <w:ind w:left="1" w:firstLine="0"/>
            </w:pPr>
            <w:r>
              <w:t xml:space="preserve">Each TC, TSP and the IMSP has obligations under the IFA with respect to the transfer of interoperability-related files. Further operational availability performance requirements may be set out in the TCA. </w:t>
            </w:r>
          </w:p>
        </w:tc>
      </w:tr>
      <w:tr w:rsidR="00F50D3A" w14:paraId="15413AA3" w14:textId="77777777">
        <w:trPr>
          <w:trHeight w:val="704"/>
        </w:trPr>
        <w:tc>
          <w:tcPr>
            <w:tcW w:w="1280" w:type="dxa"/>
            <w:tcBorders>
              <w:top w:val="single" w:sz="4" w:space="0" w:color="82D1F1"/>
              <w:left w:val="single" w:sz="4" w:space="0" w:color="82D1F1"/>
              <w:bottom w:val="single" w:sz="4" w:space="0" w:color="82D1F1"/>
              <w:right w:val="single" w:sz="4" w:space="0" w:color="82D1F1"/>
            </w:tcBorders>
            <w:shd w:val="clear" w:color="auto" w:fill="D5EFFA"/>
          </w:tcPr>
          <w:p w14:paraId="525C2999" w14:textId="77777777" w:rsidR="00F50D3A" w:rsidRDefault="00395364">
            <w:pPr>
              <w:spacing w:after="0" w:line="259" w:lineRule="auto"/>
              <w:ind w:left="0" w:firstLine="0"/>
            </w:pPr>
            <w:r>
              <w:rPr>
                <w:b/>
              </w:rPr>
              <w:t xml:space="preserve">Other KPIs </w:t>
            </w:r>
          </w:p>
        </w:tc>
        <w:tc>
          <w:tcPr>
            <w:tcW w:w="7734" w:type="dxa"/>
            <w:tcBorders>
              <w:top w:val="single" w:sz="4" w:space="0" w:color="82D1F1"/>
              <w:left w:val="single" w:sz="4" w:space="0" w:color="82D1F1"/>
              <w:bottom w:val="single" w:sz="4" w:space="0" w:color="82D1F1"/>
              <w:right w:val="single" w:sz="4" w:space="0" w:color="82D1F1"/>
            </w:tcBorders>
            <w:shd w:val="clear" w:color="auto" w:fill="D5EFFA"/>
          </w:tcPr>
          <w:p w14:paraId="34B4C047" w14:textId="77777777" w:rsidR="00F50D3A" w:rsidRDefault="00395364">
            <w:pPr>
              <w:spacing w:after="0" w:line="259" w:lineRule="auto"/>
              <w:ind w:left="1" w:firstLine="0"/>
            </w:pPr>
            <w:r>
              <w:t xml:space="preserve">To be agreed bilaterally and documented in the TCAs that are agreed between the parties. </w:t>
            </w:r>
          </w:p>
        </w:tc>
      </w:tr>
      <w:tr w:rsidR="00F50D3A" w14:paraId="2D990006" w14:textId="77777777">
        <w:trPr>
          <w:trHeight w:val="1322"/>
        </w:trPr>
        <w:tc>
          <w:tcPr>
            <w:tcW w:w="1280" w:type="dxa"/>
            <w:tcBorders>
              <w:top w:val="single" w:sz="4" w:space="0" w:color="82D1F1"/>
              <w:left w:val="single" w:sz="4" w:space="0" w:color="82D1F1"/>
              <w:bottom w:val="single" w:sz="4" w:space="0" w:color="82D1F1"/>
              <w:right w:val="single" w:sz="4" w:space="0" w:color="82D1F1"/>
            </w:tcBorders>
            <w:vAlign w:val="bottom"/>
          </w:tcPr>
          <w:p w14:paraId="027346B3" w14:textId="77777777" w:rsidR="00F50D3A" w:rsidRDefault="00395364">
            <w:pPr>
              <w:spacing w:after="0" w:line="244" w:lineRule="auto"/>
              <w:ind w:left="0" w:firstLine="0"/>
            </w:pPr>
            <w:r>
              <w:rPr>
                <w:b/>
              </w:rPr>
              <w:t xml:space="preserve">Service level </w:t>
            </w:r>
          </w:p>
          <w:p w14:paraId="1B6BFF72" w14:textId="77777777" w:rsidR="00F50D3A" w:rsidRDefault="00395364">
            <w:pPr>
              <w:spacing w:after="0" w:line="259" w:lineRule="auto"/>
              <w:ind w:left="0" w:firstLine="0"/>
              <w:jc w:val="both"/>
            </w:pPr>
            <w:r>
              <w:rPr>
                <w:b/>
              </w:rPr>
              <w:t>agreement</w:t>
            </w:r>
          </w:p>
          <w:p w14:paraId="193377A9" w14:textId="77777777" w:rsidR="00F50D3A" w:rsidRDefault="00395364">
            <w:pPr>
              <w:spacing w:after="0" w:line="259" w:lineRule="auto"/>
              <w:ind w:left="0" w:firstLine="0"/>
            </w:pPr>
            <w:r>
              <w:rPr>
                <w:b/>
              </w:rPr>
              <w:t xml:space="preserve">s </w:t>
            </w:r>
          </w:p>
        </w:tc>
        <w:tc>
          <w:tcPr>
            <w:tcW w:w="7734" w:type="dxa"/>
            <w:tcBorders>
              <w:top w:val="single" w:sz="4" w:space="0" w:color="82D1F1"/>
              <w:left w:val="single" w:sz="4" w:space="0" w:color="82D1F1"/>
              <w:bottom w:val="single" w:sz="4" w:space="0" w:color="82D1F1"/>
              <w:right w:val="single" w:sz="4" w:space="0" w:color="82D1F1"/>
            </w:tcBorders>
          </w:tcPr>
          <w:p w14:paraId="66823E32" w14:textId="77777777" w:rsidR="00F50D3A" w:rsidRDefault="00395364">
            <w:pPr>
              <w:spacing w:after="0" w:line="259" w:lineRule="auto"/>
              <w:ind w:left="1" w:firstLine="0"/>
            </w:pPr>
            <w:r>
              <w:t xml:space="preserve">Service level agreements for TCs and TSPs are set out in the IFA and the relevant TCAs. </w:t>
            </w:r>
          </w:p>
        </w:tc>
      </w:tr>
      <w:tr w:rsidR="00F50D3A" w14:paraId="07C395AE" w14:textId="77777777">
        <w:trPr>
          <w:trHeight w:val="1020"/>
        </w:trPr>
        <w:tc>
          <w:tcPr>
            <w:tcW w:w="1280" w:type="dxa"/>
            <w:tcBorders>
              <w:top w:val="single" w:sz="4" w:space="0" w:color="82D1F1"/>
              <w:left w:val="single" w:sz="4" w:space="0" w:color="82D1F1"/>
              <w:bottom w:val="single" w:sz="4" w:space="0" w:color="82D1F1"/>
              <w:right w:val="single" w:sz="4" w:space="0" w:color="82D1F1"/>
            </w:tcBorders>
            <w:shd w:val="clear" w:color="auto" w:fill="D5EFFA"/>
            <w:vAlign w:val="bottom"/>
          </w:tcPr>
          <w:p w14:paraId="61A2A352" w14:textId="77777777" w:rsidR="00F50D3A" w:rsidRDefault="00395364">
            <w:pPr>
              <w:spacing w:after="0" w:line="259" w:lineRule="auto"/>
              <w:ind w:left="0" w:firstLine="0"/>
            </w:pPr>
            <w:r>
              <w:rPr>
                <w:b/>
              </w:rPr>
              <w:t xml:space="preserve">Service level penalties </w:t>
            </w:r>
          </w:p>
        </w:tc>
        <w:tc>
          <w:tcPr>
            <w:tcW w:w="7734" w:type="dxa"/>
            <w:tcBorders>
              <w:top w:val="single" w:sz="4" w:space="0" w:color="82D1F1"/>
              <w:left w:val="single" w:sz="4" w:space="0" w:color="82D1F1"/>
              <w:bottom w:val="single" w:sz="4" w:space="0" w:color="82D1F1"/>
              <w:right w:val="single" w:sz="4" w:space="0" w:color="82D1F1"/>
            </w:tcBorders>
            <w:shd w:val="clear" w:color="auto" w:fill="D5EFFA"/>
          </w:tcPr>
          <w:p w14:paraId="37606305" w14:textId="77777777" w:rsidR="00F50D3A" w:rsidRDefault="00395364">
            <w:pPr>
              <w:spacing w:after="0" w:line="259" w:lineRule="auto"/>
              <w:ind w:left="1" w:firstLine="0"/>
            </w:pPr>
            <w:r>
              <w:t xml:space="preserve">To be agreed bilaterally and documented in the TCAs between the parties. </w:t>
            </w:r>
          </w:p>
        </w:tc>
      </w:tr>
      <w:tr w:rsidR="00F50D3A" w14:paraId="57D5D5C3" w14:textId="77777777">
        <w:trPr>
          <w:trHeight w:val="5612"/>
        </w:trPr>
        <w:tc>
          <w:tcPr>
            <w:tcW w:w="1280" w:type="dxa"/>
            <w:tcBorders>
              <w:top w:val="single" w:sz="4" w:space="0" w:color="82D1F1"/>
              <w:left w:val="single" w:sz="4" w:space="0" w:color="82D1F1"/>
              <w:bottom w:val="single" w:sz="4" w:space="0" w:color="82D1F1"/>
              <w:right w:val="single" w:sz="4" w:space="0" w:color="82D1F1"/>
            </w:tcBorders>
          </w:tcPr>
          <w:p w14:paraId="7551E609" w14:textId="77777777" w:rsidR="00F50D3A" w:rsidRDefault="00395364">
            <w:pPr>
              <w:spacing w:after="0" w:line="259" w:lineRule="auto"/>
              <w:ind w:left="0" w:firstLine="0"/>
            </w:pPr>
            <w:r>
              <w:rPr>
                <w:b/>
              </w:rPr>
              <w:lastRenderedPageBreak/>
              <w:t xml:space="preserve">Dispute procedure </w:t>
            </w:r>
          </w:p>
        </w:tc>
        <w:tc>
          <w:tcPr>
            <w:tcW w:w="7734" w:type="dxa"/>
            <w:tcBorders>
              <w:top w:val="single" w:sz="4" w:space="0" w:color="82D1F1"/>
              <w:left w:val="single" w:sz="4" w:space="0" w:color="82D1F1"/>
              <w:bottom w:val="single" w:sz="4" w:space="0" w:color="82D1F1"/>
              <w:right w:val="single" w:sz="4" w:space="0" w:color="82D1F1"/>
            </w:tcBorders>
          </w:tcPr>
          <w:p w14:paraId="61F2DF74" w14:textId="77777777" w:rsidR="00F50D3A" w:rsidRDefault="00395364">
            <w:pPr>
              <w:spacing w:after="0" w:line="236" w:lineRule="auto"/>
              <w:ind w:left="1" w:firstLine="0"/>
            </w:pPr>
            <w:r>
              <w:t xml:space="preserve">A disputes resolution procedure relating to interoperability is set out in the IFA. A further dispute procedure is included in the TCA.  </w:t>
            </w:r>
          </w:p>
          <w:p w14:paraId="3D734C78" w14:textId="77777777" w:rsidR="00F50D3A" w:rsidRDefault="00395364">
            <w:pPr>
              <w:spacing w:after="0" w:line="259" w:lineRule="auto"/>
              <w:ind w:left="1" w:firstLine="0"/>
            </w:pPr>
            <w:r>
              <w:t xml:space="preserve"> </w:t>
            </w:r>
          </w:p>
          <w:p w14:paraId="1897C345" w14:textId="31C91F87" w:rsidR="00F50D3A" w:rsidRDefault="00395364" w:rsidP="00E12496">
            <w:pPr>
              <w:spacing w:after="0" w:line="237" w:lineRule="auto"/>
              <w:ind w:left="1" w:firstLine="0"/>
            </w:pPr>
            <w:r>
              <w:t xml:space="preserve">Under the IFA, all parties are expected to cooperate in good faith with each other. Any technical or operational issues arising shall first be referred to the TC’s and TSP’s representatives who shall endeavour to resolve the issue. If such issue fails to be resolved within 20 working days of the issue arising, then disputes will be resolved by an Independent Expert with reasonable knowledge of the field.  </w:t>
            </w:r>
          </w:p>
          <w:p w14:paraId="112AF301" w14:textId="77777777" w:rsidR="00F50D3A" w:rsidRDefault="00395364">
            <w:pPr>
              <w:spacing w:after="0" w:line="259" w:lineRule="auto"/>
              <w:ind w:left="1" w:firstLine="0"/>
            </w:pPr>
            <w:r>
              <w:t xml:space="preserve"> </w:t>
            </w:r>
          </w:p>
          <w:p w14:paraId="37B92509" w14:textId="77777777" w:rsidR="00F50D3A" w:rsidRDefault="00395364">
            <w:pPr>
              <w:spacing w:after="0" w:line="236" w:lineRule="auto"/>
              <w:ind w:left="1" w:firstLine="0"/>
            </w:pPr>
            <w:r>
              <w:t xml:space="preserve">If any party in the dispute is dissatisfied with the decision of the Independent Expert, they may commence arbitration in respect to the dispute.  </w:t>
            </w:r>
          </w:p>
          <w:p w14:paraId="54CEA289" w14:textId="77777777" w:rsidR="00F50D3A" w:rsidRDefault="00395364">
            <w:pPr>
              <w:spacing w:after="0" w:line="259" w:lineRule="auto"/>
              <w:ind w:left="1" w:firstLine="0"/>
            </w:pPr>
            <w:r>
              <w:t xml:space="preserve"> </w:t>
            </w:r>
          </w:p>
          <w:p w14:paraId="163E3A90" w14:textId="77777777" w:rsidR="00F50D3A" w:rsidRDefault="00395364">
            <w:pPr>
              <w:spacing w:after="0" w:line="259" w:lineRule="auto"/>
              <w:ind w:left="1" w:firstLine="0"/>
            </w:pPr>
            <w:r>
              <w:t xml:space="preserve">Separately, with respect to the EETS, the National Transport Authority of Ireland, under </w:t>
            </w:r>
          </w:p>
          <w:p w14:paraId="6C596327" w14:textId="77777777" w:rsidR="00F50D3A" w:rsidRDefault="00395364">
            <w:pPr>
              <w:spacing w:after="0" w:line="237" w:lineRule="auto"/>
              <w:ind w:left="1" w:firstLine="0"/>
            </w:pPr>
            <w:r>
              <w:t xml:space="preserve">European Commission Decision 2009/750/EC, has been appointed as the National Conciliation Body for Ireland. Further information on the National Conciliation Body can be found at: </w:t>
            </w:r>
          </w:p>
          <w:p w14:paraId="3C3DBBE4" w14:textId="77777777" w:rsidR="00F50D3A" w:rsidRDefault="00395364">
            <w:pPr>
              <w:spacing w:after="0" w:line="259" w:lineRule="auto"/>
              <w:ind w:left="1" w:firstLine="0"/>
            </w:pPr>
            <w:r>
              <w:t>https://www.nationaltransport.ie/wpcontent/uploads/2011/12/Conciliation_Procedure</w:t>
            </w:r>
          </w:p>
          <w:p w14:paraId="275DE2E3" w14:textId="77777777" w:rsidR="00F50D3A" w:rsidRDefault="00395364">
            <w:pPr>
              <w:spacing w:after="0" w:line="259" w:lineRule="auto"/>
              <w:ind w:left="1" w:firstLine="0"/>
            </w:pPr>
            <w:r>
              <w:t>_</w:t>
            </w:r>
            <w:proofErr w:type="spellStart"/>
            <w:r>
              <w:t>in_relation_to</w:t>
            </w:r>
            <w:proofErr w:type="spellEnd"/>
            <w:r>
              <w:t xml:space="preserve">_ </w:t>
            </w:r>
            <w:proofErr w:type="spellStart"/>
            <w:r>
              <w:t>disputes_between_European_Electronic_Toll_Service_Providers</w:t>
            </w:r>
            <w:proofErr w:type="spellEnd"/>
            <w:r>
              <w:t xml:space="preserve"> __Toll_Chargers_-_March_2014.pdf </w:t>
            </w:r>
          </w:p>
        </w:tc>
      </w:tr>
    </w:tbl>
    <w:p w14:paraId="417675A1" w14:textId="77777777" w:rsidR="00F50D3A" w:rsidRDefault="00395364">
      <w:pPr>
        <w:spacing w:after="0" w:line="259" w:lineRule="auto"/>
        <w:ind w:left="0" w:firstLine="0"/>
      </w:pPr>
      <w:r>
        <w:t xml:space="preserve"> </w:t>
      </w:r>
    </w:p>
    <w:p w14:paraId="788B6884" w14:textId="77777777" w:rsidR="00F50D3A" w:rsidRDefault="00395364">
      <w:pPr>
        <w:tabs>
          <w:tab w:val="center" w:pos="1505"/>
        </w:tabs>
        <w:ind w:left="-15" w:firstLine="0"/>
      </w:pPr>
      <w:r>
        <w:t xml:space="preserve">2.2.1 </w:t>
      </w:r>
      <w:r>
        <w:tab/>
        <w:t xml:space="preserve">Toll Declaration  </w:t>
      </w:r>
    </w:p>
    <w:p w14:paraId="173597A7" w14:textId="77777777" w:rsidR="00F50D3A" w:rsidRDefault="00395364">
      <w:pPr>
        <w:spacing w:after="0" w:line="259" w:lineRule="auto"/>
        <w:ind w:left="0" w:firstLine="0"/>
      </w:pPr>
      <w:r>
        <w:t xml:space="preserve"> </w:t>
      </w:r>
    </w:p>
    <w:p w14:paraId="7E079358" w14:textId="77777777" w:rsidR="00F50D3A" w:rsidRDefault="00395364">
      <w:pPr>
        <w:ind w:left="-5"/>
      </w:pPr>
      <w:r>
        <w:t xml:space="preserve">The M50 operation will issue the toll declarations for Service User passages in batched files called Charging and Enforcement Information (CEI) to the IMSP according to the content and schedule detailed in the following table below. The IMSP will extract all transactions specific to each TSP from this file and consolidate these transactions will all other relevant transaction from other TCs. The IMSP will send the Consolidated Charging and Enforcement Information (CCEI) file to each respective TSP. </w:t>
      </w:r>
    </w:p>
    <w:p w14:paraId="1267913E" w14:textId="77777777" w:rsidR="00E12496" w:rsidRDefault="00E12496">
      <w:pPr>
        <w:spacing w:after="0" w:line="259" w:lineRule="auto"/>
        <w:ind w:left="0" w:firstLine="0"/>
      </w:pPr>
    </w:p>
    <w:p w14:paraId="502CD8E0" w14:textId="77777777" w:rsidR="00E12496" w:rsidRDefault="00E12496">
      <w:pPr>
        <w:spacing w:after="0" w:line="259" w:lineRule="auto"/>
        <w:ind w:left="0" w:firstLine="0"/>
      </w:pPr>
    </w:p>
    <w:p w14:paraId="16C937E9" w14:textId="77777777" w:rsidR="00E12496" w:rsidRDefault="00E12496">
      <w:pPr>
        <w:spacing w:after="0" w:line="259" w:lineRule="auto"/>
        <w:ind w:left="0" w:firstLine="0"/>
      </w:pPr>
    </w:p>
    <w:p w14:paraId="0BAD5ACB" w14:textId="77777777" w:rsidR="00E12496" w:rsidRDefault="00E12496">
      <w:pPr>
        <w:spacing w:after="0" w:line="259" w:lineRule="auto"/>
        <w:ind w:left="0" w:firstLine="0"/>
      </w:pPr>
    </w:p>
    <w:p w14:paraId="2DDE7E42" w14:textId="77777777" w:rsidR="00E12496" w:rsidRDefault="00E12496">
      <w:pPr>
        <w:spacing w:after="0" w:line="259" w:lineRule="auto"/>
        <w:ind w:left="0" w:firstLine="0"/>
      </w:pPr>
    </w:p>
    <w:p w14:paraId="19C3CB27" w14:textId="77777777" w:rsidR="00E12496" w:rsidRDefault="00E12496">
      <w:pPr>
        <w:spacing w:after="0" w:line="259" w:lineRule="auto"/>
        <w:ind w:left="0" w:firstLine="0"/>
      </w:pPr>
    </w:p>
    <w:p w14:paraId="725BFCBA" w14:textId="77777777" w:rsidR="00E12496" w:rsidRDefault="00E12496">
      <w:pPr>
        <w:spacing w:after="0" w:line="259" w:lineRule="auto"/>
        <w:ind w:left="0" w:firstLine="0"/>
      </w:pPr>
    </w:p>
    <w:p w14:paraId="3DD6058B" w14:textId="77777777" w:rsidR="00E12496" w:rsidRDefault="00E12496">
      <w:pPr>
        <w:spacing w:after="0" w:line="259" w:lineRule="auto"/>
        <w:ind w:left="0" w:firstLine="0"/>
      </w:pPr>
    </w:p>
    <w:p w14:paraId="408E7049" w14:textId="77777777" w:rsidR="00E12496" w:rsidRDefault="00E12496">
      <w:pPr>
        <w:spacing w:after="0" w:line="259" w:lineRule="auto"/>
        <w:ind w:left="0" w:firstLine="0"/>
      </w:pPr>
    </w:p>
    <w:p w14:paraId="613E643E" w14:textId="77777777" w:rsidR="00E12496" w:rsidRDefault="00E12496">
      <w:pPr>
        <w:spacing w:after="0" w:line="259" w:lineRule="auto"/>
        <w:ind w:left="0" w:firstLine="0"/>
      </w:pPr>
    </w:p>
    <w:p w14:paraId="428D6B1A" w14:textId="77777777" w:rsidR="00E12496" w:rsidRDefault="00E12496">
      <w:pPr>
        <w:spacing w:after="0" w:line="259" w:lineRule="auto"/>
        <w:ind w:left="0" w:firstLine="0"/>
      </w:pPr>
    </w:p>
    <w:p w14:paraId="6AEE03EC" w14:textId="77777777" w:rsidR="00E12496" w:rsidRDefault="00E12496">
      <w:pPr>
        <w:spacing w:after="0" w:line="259" w:lineRule="auto"/>
        <w:ind w:left="0" w:firstLine="0"/>
      </w:pPr>
    </w:p>
    <w:p w14:paraId="1074B1DF" w14:textId="77777777" w:rsidR="00E12496" w:rsidRDefault="00E12496">
      <w:pPr>
        <w:spacing w:after="0" w:line="259" w:lineRule="auto"/>
        <w:ind w:left="0" w:firstLine="0"/>
      </w:pPr>
    </w:p>
    <w:p w14:paraId="746F8E47" w14:textId="77777777" w:rsidR="00E12496" w:rsidRDefault="00E12496">
      <w:pPr>
        <w:spacing w:after="0" w:line="259" w:lineRule="auto"/>
        <w:ind w:left="0" w:firstLine="0"/>
      </w:pPr>
    </w:p>
    <w:p w14:paraId="03AC8139" w14:textId="5D21BEDE" w:rsidR="00F50D3A" w:rsidRDefault="00395364">
      <w:pPr>
        <w:spacing w:after="0" w:line="259" w:lineRule="auto"/>
        <w:ind w:left="0" w:firstLine="0"/>
      </w:pPr>
      <w:r>
        <w:t xml:space="preserve"> </w:t>
      </w:r>
    </w:p>
    <w:tbl>
      <w:tblPr>
        <w:tblStyle w:val="TableGrid"/>
        <w:tblW w:w="9014" w:type="dxa"/>
        <w:tblInd w:w="6" w:type="dxa"/>
        <w:tblCellMar>
          <w:top w:w="3" w:type="dxa"/>
          <w:left w:w="107" w:type="dxa"/>
          <w:bottom w:w="4" w:type="dxa"/>
          <w:right w:w="57" w:type="dxa"/>
        </w:tblCellMar>
        <w:tblLook w:val="04A0" w:firstRow="1" w:lastRow="0" w:firstColumn="1" w:lastColumn="0" w:noHBand="0" w:noVBand="1"/>
      </w:tblPr>
      <w:tblGrid>
        <w:gridCol w:w="952"/>
        <w:gridCol w:w="1328"/>
        <w:gridCol w:w="452"/>
        <w:gridCol w:w="1019"/>
        <w:gridCol w:w="2235"/>
        <w:gridCol w:w="328"/>
        <w:gridCol w:w="1239"/>
        <w:gridCol w:w="1461"/>
      </w:tblGrid>
      <w:tr w:rsidR="00F50D3A" w14:paraId="733B4E2D" w14:textId="77777777">
        <w:trPr>
          <w:trHeight w:val="488"/>
        </w:trPr>
        <w:tc>
          <w:tcPr>
            <w:tcW w:w="1156" w:type="dxa"/>
            <w:tcBorders>
              <w:top w:val="single" w:sz="4" w:space="0" w:color="82D1F1"/>
              <w:left w:val="single" w:sz="4" w:space="0" w:color="82D1F1"/>
              <w:bottom w:val="single" w:sz="12" w:space="0" w:color="82D1F1"/>
              <w:right w:val="nil"/>
            </w:tcBorders>
            <w:vAlign w:val="bottom"/>
          </w:tcPr>
          <w:p w14:paraId="0BE60AB4" w14:textId="77777777" w:rsidR="00F50D3A" w:rsidRDefault="00395364">
            <w:pPr>
              <w:spacing w:after="0" w:line="259" w:lineRule="auto"/>
              <w:ind w:left="0" w:firstLine="0"/>
            </w:pPr>
            <w:r>
              <w:rPr>
                <w:b/>
                <w:color w:val="2FB4E9"/>
                <w:sz w:val="28"/>
              </w:rPr>
              <w:lastRenderedPageBreak/>
              <w:t xml:space="preserve">List </w:t>
            </w:r>
          </w:p>
        </w:tc>
        <w:tc>
          <w:tcPr>
            <w:tcW w:w="1193" w:type="dxa"/>
            <w:tcBorders>
              <w:top w:val="single" w:sz="4" w:space="0" w:color="82D1F1"/>
              <w:left w:val="nil"/>
              <w:bottom w:val="single" w:sz="12" w:space="0" w:color="82D1F1"/>
              <w:right w:val="nil"/>
            </w:tcBorders>
          </w:tcPr>
          <w:p w14:paraId="13354833" w14:textId="77777777" w:rsidR="00F50D3A" w:rsidRDefault="00F50D3A">
            <w:pPr>
              <w:spacing w:after="160" w:line="259" w:lineRule="auto"/>
              <w:ind w:left="0" w:firstLine="0"/>
            </w:pPr>
          </w:p>
        </w:tc>
        <w:tc>
          <w:tcPr>
            <w:tcW w:w="336" w:type="dxa"/>
            <w:tcBorders>
              <w:top w:val="single" w:sz="4" w:space="0" w:color="82D1F1"/>
              <w:left w:val="nil"/>
              <w:bottom w:val="single" w:sz="12" w:space="0" w:color="82D1F1"/>
              <w:right w:val="single" w:sz="4" w:space="0" w:color="82D1F1"/>
            </w:tcBorders>
          </w:tcPr>
          <w:p w14:paraId="7E1F97D4" w14:textId="77777777" w:rsidR="00F50D3A" w:rsidRDefault="00F50D3A">
            <w:pPr>
              <w:spacing w:after="160" w:line="259" w:lineRule="auto"/>
              <w:ind w:left="0" w:firstLine="0"/>
            </w:pPr>
          </w:p>
        </w:tc>
        <w:tc>
          <w:tcPr>
            <w:tcW w:w="3187" w:type="dxa"/>
            <w:gridSpan w:val="2"/>
            <w:tcBorders>
              <w:top w:val="single" w:sz="4" w:space="0" w:color="82D1F1"/>
              <w:left w:val="single" w:sz="4" w:space="0" w:color="82D1F1"/>
              <w:bottom w:val="single" w:sz="12" w:space="0" w:color="82D1F1"/>
              <w:right w:val="nil"/>
            </w:tcBorders>
          </w:tcPr>
          <w:p w14:paraId="1D108EE9" w14:textId="77777777" w:rsidR="00F50D3A" w:rsidRDefault="00395364">
            <w:pPr>
              <w:spacing w:after="0" w:line="259" w:lineRule="auto"/>
              <w:ind w:left="1" w:firstLine="0"/>
            </w:pPr>
            <w:r>
              <w:rPr>
                <w:b/>
                <w:color w:val="2FB4E9"/>
                <w:sz w:val="28"/>
              </w:rPr>
              <w:t xml:space="preserve">Content </w:t>
            </w:r>
          </w:p>
        </w:tc>
        <w:tc>
          <w:tcPr>
            <w:tcW w:w="350" w:type="dxa"/>
            <w:tcBorders>
              <w:top w:val="single" w:sz="4" w:space="0" w:color="82D1F1"/>
              <w:left w:val="nil"/>
              <w:bottom w:val="single" w:sz="12" w:space="0" w:color="82D1F1"/>
              <w:right w:val="single" w:sz="4" w:space="0" w:color="82D1F1"/>
            </w:tcBorders>
          </w:tcPr>
          <w:p w14:paraId="1F4753E4" w14:textId="77777777" w:rsidR="00F50D3A" w:rsidRDefault="00F50D3A">
            <w:pPr>
              <w:spacing w:after="160" w:line="259" w:lineRule="auto"/>
              <w:ind w:left="0" w:firstLine="0"/>
            </w:pPr>
          </w:p>
        </w:tc>
        <w:tc>
          <w:tcPr>
            <w:tcW w:w="1147" w:type="dxa"/>
            <w:tcBorders>
              <w:top w:val="single" w:sz="4" w:space="0" w:color="82D1F1"/>
              <w:left w:val="single" w:sz="4" w:space="0" w:color="82D1F1"/>
              <w:bottom w:val="single" w:sz="12" w:space="0" w:color="82D1F1"/>
              <w:right w:val="nil"/>
            </w:tcBorders>
          </w:tcPr>
          <w:p w14:paraId="0E6A241A" w14:textId="77777777" w:rsidR="00F50D3A" w:rsidRDefault="00395364">
            <w:pPr>
              <w:spacing w:after="0" w:line="259" w:lineRule="auto"/>
              <w:ind w:left="1" w:firstLine="0"/>
              <w:jc w:val="both"/>
            </w:pPr>
            <w:r>
              <w:rPr>
                <w:b/>
                <w:color w:val="2FB4E9"/>
                <w:sz w:val="28"/>
              </w:rPr>
              <w:t xml:space="preserve">Update  </w:t>
            </w:r>
          </w:p>
        </w:tc>
        <w:tc>
          <w:tcPr>
            <w:tcW w:w="1645" w:type="dxa"/>
            <w:tcBorders>
              <w:top w:val="single" w:sz="4" w:space="0" w:color="82D1F1"/>
              <w:left w:val="nil"/>
              <w:bottom w:val="single" w:sz="12" w:space="0" w:color="82D1F1"/>
              <w:right w:val="single" w:sz="4" w:space="0" w:color="82D1F1"/>
            </w:tcBorders>
          </w:tcPr>
          <w:p w14:paraId="18F7BDDC" w14:textId="77777777" w:rsidR="00F50D3A" w:rsidRDefault="00F50D3A">
            <w:pPr>
              <w:spacing w:after="160" w:line="259" w:lineRule="auto"/>
              <w:ind w:left="0" w:firstLine="0"/>
            </w:pPr>
          </w:p>
        </w:tc>
      </w:tr>
      <w:tr w:rsidR="00F50D3A" w14:paraId="182AC611" w14:textId="77777777">
        <w:trPr>
          <w:trHeight w:val="434"/>
        </w:trPr>
        <w:tc>
          <w:tcPr>
            <w:tcW w:w="1156" w:type="dxa"/>
            <w:tcBorders>
              <w:top w:val="single" w:sz="12" w:space="0" w:color="82D1F1"/>
              <w:left w:val="single" w:sz="4" w:space="0" w:color="82D1F1"/>
              <w:bottom w:val="single" w:sz="4" w:space="0" w:color="82D1F1"/>
              <w:right w:val="single" w:sz="4" w:space="0" w:color="82D1F1"/>
            </w:tcBorders>
            <w:shd w:val="clear" w:color="auto" w:fill="D5EFFA"/>
            <w:vAlign w:val="bottom"/>
          </w:tcPr>
          <w:p w14:paraId="45330976" w14:textId="77777777" w:rsidR="00F50D3A" w:rsidRDefault="00395364">
            <w:pPr>
              <w:spacing w:after="0" w:line="259" w:lineRule="auto"/>
              <w:ind w:left="0" w:firstLine="0"/>
            </w:pPr>
            <w:r>
              <w:rPr>
                <w:b/>
              </w:rPr>
              <w:t xml:space="preserve">Type </w:t>
            </w:r>
          </w:p>
        </w:tc>
        <w:tc>
          <w:tcPr>
            <w:tcW w:w="1193" w:type="dxa"/>
            <w:tcBorders>
              <w:top w:val="single" w:sz="12" w:space="0" w:color="82D1F1"/>
              <w:left w:val="single" w:sz="4" w:space="0" w:color="82D1F1"/>
              <w:bottom w:val="single" w:sz="4" w:space="0" w:color="82D1F1"/>
              <w:right w:val="single" w:sz="4" w:space="0" w:color="82D1F1"/>
            </w:tcBorders>
            <w:shd w:val="clear" w:color="auto" w:fill="D5EFFA"/>
          </w:tcPr>
          <w:p w14:paraId="51FECA1C" w14:textId="77777777" w:rsidR="00F50D3A" w:rsidRDefault="00395364">
            <w:pPr>
              <w:spacing w:after="0" w:line="259" w:lineRule="auto"/>
              <w:ind w:left="1" w:firstLine="0"/>
            </w:pPr>
            <w:r>
              <w:t xml:space="preserve">Tag Name </w:t>
            </w:r>
          </w:p>
        </w:tc>
        <w:tc>
          <w:tcPr>
            <w:tcW w:w="1382" w:type="dxa"/>
            <w:gridSpan w:val="2"/>
            <w:tcBorders>
              <w:top w:val="single" w:sz="12" w:space="0" w:color="82D1F1"/>
              <w:left w:val="single" w:sz="4" w:space="0" w:color="82D1F1"/>
              <w:bottom w:val="single" w:sz="4" w:space="0" w:color="82D1F1"/>
              <w:right w:val="single" w:sz="4" w:space="0" w:color="82D1F1"/>
            </w:tcBorders>
            <w:shd w:val="clear" w:color="auto" w:fill="D5EFFA"/>
          </w:tcPr>
          <w:p w14:paraId="369C70A2" w14:textId="77777777" w:rsidR="00F50D3A" w:rsidRDefault="00395364">
            <w:pPr>
              <w:spacing w:after="0" w:line="259" w:lineRule="auto"/>
              <w:ind w:left="1" w:firstLine="0"/>
            </w:pPr>
            <w:r>
              <w:t xml:space="preserve">Full Name </w:t>
            </w:r>
          </w:p>
        </w:tc>
        <w:tc>
          <w:tcPr>
            <w:tcW w:w="2141" w:type="dxa"/>
            <w:tcBorders>
              <w:top w:val="single" w:sz="12" w:space="0" w:color="82D1F1"/>
              <w:left w:val="single" w:sz="4" w:space="0" w:color="82D1F1"/>
              <w:bottom w:val="single" w:sz="4" w:space="0" w:color="82D1F1"/>
              <w:right w:val="single" w:sz="4" w:space="0" w:color="82D1F1"/>
            </w:tcBorders>
            <w:shd w:val="clear" w:color="auto" w:fill="D5EFFA"/>
          </w:tcPr>
          <w:p w14:paraId="2A99D63D" w14:textId="77777777" w:rsidR="00F50D3A" w:rsidRDefault="00395364">
            <w:pPr>
              <w:spacing w:after="0" w:line="259" w:lineRule="auto"/>
              <w:ind w:left="1" w:firstLine="0"/>
            </w:pPr>
            <w:r>
              <w:t xml:space="preserve">Comment  </w:t>
            </w:r>
          </w:p>
        </w:tc>
        <w:tc>
          <w:tcPr>
            <w:tcW w:w="1498" w:type="dxa"/>
            <w:gridSpan w:val="2"/>
            <w:tcBorders>
              <w:top w:val="single" w:sz="12" w:space="0" w:color="82D1F1"/>
              <w:left w:val="single" w:sz="4" w:space="0" w:color="82D1F1"/>
              <w:bottom w:val="single" w:sz="4" w:space="0" w:color="82D1F1"/>
              <w:right w:val="single" w:sz="4" w:space="0" w:color="82D1F1"/>
            </w:tcBorders>
            <w:shd w:val="clear" w:color="auto" w:fill="D5EFFA"/>
          </w:tcPr>
          <w:p w14:paraId="6ABC9E66" w14:textId="77777777" w:rsidR="00F50D3A" w:rsidRDefault="00395364">
            <w:pPr>
              <w:spacing w:after="0" w:line="259" w:lineRule="auto"/>
              <w:ind w:left="1" w:firstLine="0"/>
            </w:pPr>
            <w:r>
              <w:t xml:space="preserve">Field Type </w:t>
            </w:r>
          </w:p>
        </w:tc>
        <w:tc>
          <w:tcPr>
            <w:tcW w:w="1645" w:type="dxa"/>
            <w:tcBorders>
              <w:top w:val="single" w:sz="12" w:space="0" w:color="82D1F1"/>
              <w:left w:val="single" w:sz="4" w:space="0" w:color="82D1F1"/>
              <w:bottom w:val="single" w:sz="4" w:space="0" w:color="82D1F1"/>
              <w:right w:val="single" w:sz="4" w:space="0" w:color="82D1F1"/>
            </w:tcBorders>
            <w:shd w:val="clear" w:color="auto" w:fill="D5EFFA"/>
          </w:tcPr>
          <w:p w14:paraId="6115B0C1" w14:textId="77777777" w:rsidR="00F50D3A" w:rsidRDefault="00395364">
            <w:pPr>
              <w:spacing w:after="0" w:line="259" w:lineRule="auto"/>
              <w:ind w:left="1" w:firstLine="0"/>
            </w:pPr>
            <w:r>
              <w:t xml:space="preserve">Frequency  </w:t>
            </w:r>
          </w:p>
        </w:tc>
      </w:tr>
      <w:tr w:rsidR="00F50D3A" w14:paraId="0634DEDC" w14:textId="77777777">
        <w:trPr>
          <w:trHeight w:val="6356"/>
        </w:trPr>
        <w:tc>
          <w:tcPr>
            <w:tcW w:w="1156" w:type="dxa"/>
            <w:tcBorders>
              <w:top w:val="single" w:sz="4" w:space="0" w:color="82D1F1"/>
              <w:left w:val="single" w:sz="4" w:space="0" w:color="82D1F1"/>
              <w:bottom w:val="single" w:sz="4" w:space="0" w:color="82D1F1"/>
              <w:right w:val="single" w:sz="4" w:space="0" w:color="82D1F1"/>
            </w:tcBorders>
          </w:tcPr>
          <w:p w14:paraId="3BFD2782" w14:textId="77777777" w:rsidR="00F50D3A" w:rsidRDefault="00395364">
            <w:pPr>
              <w:spacing w:after="0" w:line="259" w:lineRule="auto"/>
              <w:ind w:left="0" w:firstLine="0"/>
            </w:pPr>
            <w:r>
              <w:rPr>
                <w:b/>
              </w:rPr>
              <w:t xml:space="preserve">CEI  </w:t>
            </w:r>
          </w:p>
        </w:tc>
        <w:tc>
          <w:tcPr>
            <w:tcW w:w="1193" w:type="dxa"/>
            <w:tcBorders>
              <w:top w:val="single" w:sz="4" w:space="0" w:color="82D1F1"/>
              <w:left w:val="single" w:sz="4" w:space="0" w:color="82D1F1"/>
              <w:bottom w:val="single" w:sz="4" w:space="0" w:color="82D1F1"/>
              <w:right w:val="single" w:sz="4" w:space="0" w:color="82D1F1"/>
            </w:tcBorders>
          </w:tcPr>
          <w:p w14:paraId="79E17BF1" w14:textId="77777777" w:rsidR="00F50D3A" w:rsidRDefault="00395364">
            <w:pPr>
              <w:numPr>
                <w:ilvl w:val="0"/>
                <w:numId w:val="10"/>
              </w:numPr>
              <w:spacing w:after="0" w:line="259" w:lineRule="auto"/>
              <w:ind w:hanging="89"/>
            </w:pPr>
            <w:proofErr w:type="spellStart"/>
            <w:r>
              <w:t>sp</w:t>
            </w:r>
            <w:proofErr w:type="spellEnd"/>
            <w:r>
              <w:t xml:space="preserve">  </w:t>
            </w:r>
          </w:p>
          <w:p w14:paraId="5A5CC4F6" w14:textId="77777777" w:rsidR="00F50D3A" w:rsidRDefault="00395364">
            <w:pPr>
              <w:numPr>
                <w:ilvl w:val="0"/>
                <w:numId w:val="10"/>
              </w:numPr>
              <w:spacing w:after="0" w:line="259" w:lineRule="auto"/>
              <w:ind w:hanging="89"/>
            </w:pPr>
            <w:r>
              <w:t xml:space="preserve">cm  </w:t>
            </w:r>
          </w:p>
          <w:p w14:paraId="33FCE750" w14:textId="77777777" w:rsidR="00F50D3A" w:rsidRDefault="00395364">
            <w:pPr>
              <w:numPr>
                <w:ilvl w:val="0"/>
                <w:numId w:val="10"/>
              </w:numPr>
              <w:spacing w:after="0" w:line="259" w:lineRule="auto"/>
              <w:ind w:hanging="89"/>
            </w:pPr>
            <w:proofErr w:type="spellStart"/>
            <w:r>
              <w:t>obu</w:t>
            </w:r>
            <w:proofErr w:type="spellEnd"/>
            <w:r>
              <w:t xml:space="preserve">  </w:t>
            </w:r>
          </w:p>
          <w:p w14:paraId="0842A8A8" w14:textId="77777777" w:rsidR="00F50D3A" w:rsidRDefault="00395364">
            <w:pPr>
              <w:numPr>
                <w:ilvl w:val="0"/>
                <w:numId w:val="10"/>
              </w:numPr>
              <w:spacing w:after="0" w:line="259" w:lineRule="auto"/>
              <w:ind w:hanging="89"/>
            </w:pPr>
            <w:r>
              <w:t xml:space="preserve">type </w:t>
            </w:r>
          </w:p>
          <w:p w14:paraId="004CD82D" w14:textId="77777777" w:rsidR="00F50D3A" w:rsidRDefault="00395364">
            <w:pPr>
              <w:numPr>
                <w:ilvl w:val="0"/>
                <w:numId w:val="10"/>
              </w:numPr>
              <w:spacing w:after="0" w:line="259" w:lineRule="auto"/>
              <w:ind w:hanging="89"/>
            </w:pPr>
            <w:r>
              <w:t xml:space="preserve">date  </w:t>
            </w:r>
          </w:p>
          <w:p w14:paraId="1F0DF118" w14:textId="77777777" w:rsidR="00F50D3A" w:rsidRDefault="00395364">
            <w:pPr>
              <w:numPr>
                <w:ilvl w:val="0"/>
                <w:numId w:val="10"/>
              </w:numPr>
              <w:spacing w:after="0" w:line="259" w:lineRule="auto"/>
              <w:ind w:hanging="89"/>
            </w:pPr>
            <w:proofErr w:type="spellStart"/>
            <w:r>
              <w:t>vc</w:t>
            </w:r>
            <w:proofErr w:type="spellEnd"/>
            <w:r>
              <w:t xml:space="preserve">  </w:t>
            </w:r>
          </w:p>
          <w:p w14:paraId="74E6E8C7" w14:textId="77777777" w:rsidR="00F50D3A" w:rsidRDefault="00395364">
            <w:pPr>
              <w:numPr>
                <w:ilvl w:val="0"/>
                <w:numId w:val="10"/>
              </w:numPr>
              <w:spacing w:after="0" w:line="259" w:lineRule="auto"/>
              <w:ind w:hanging="89"/>
            </w:pPr>
            <w:proofErr w:type="spellStart"/>
            <w:r>
              <w:t>loc</w:t>
            </w:r>
            <w:proofErr w:type="spellEnd"/>
            <w:r>
              <w:t xml:space="preserve">  </w:t>
            </w:r>
          </w:p>
          <w:p w14:paraId="597D1852" w14:textId="77777777" w:rsidR="00F50D3A" w:rsidRDefault="00395364">
            <w:pPr>
              <w:numPr>
                <w:ilvl w:val="0"/>
                <w:numId w:val="10"/>
              </w:numPr>
              <w:spacing w:after="0" w:line="259" w:lineRule="auto"/>
              <w:ind w:hanging="89"/>
            </w:pPr>
            <w:r>
              <w:t xml:space="preserve">bid  </w:t>
            </w:r>
          </w:p>
          <w:p w14:paraId="2F1AEFB6" w14:textId="77777777" w:rsidR="00F50D3A" w:rsidRDefault="00395364">
            <w:pPr>
              <w:numPr>
                <w:ilvl w:val="0"/>
                <w:numId w:val="10"/>
              </w:numPr>
              <w:spacing w:after="0" w:line="259" w:lineRule="auto"/>
              <w:ind w:hanging="89"/>
            </w:pPr>
            <w:proofErr w:type="spellStart"/>
            <w:r>
              <w:t>avi</w:t>
            </w:r>
            <w:proofErr w:type="spellEnd"/>
            <w:r>
              <w:t xml:space="preserve">  </w:t>
            </w:r>
          </w:p>
          <w:p w14:paraId="376ADE80" w14:textId="77777777" w:rsidR="00F50D3A" w:rsidRDefault="00395364">
            <w:pPr>
              <w:numPr>
                <w:ilvl w:val="0"/>
                <w:numId w:val="10"/>
              </w:numPr>
              <w:spacing w:after="0" w:line="259" w:lineRule="auto"/>
              <w:ind w:hanging="89"/>
            </w:pPr>
            <w:proofErr w:type="spellStart"/>
            <w:r>
              <w:t>ave</w:t>
            </w:r>
            <w:proofErr w:type="spellEnd"/>
            <w:r>
              <w:t xml:space="preserve">  </w:t>
            </w:r>
          </w:p>
          <w:p w14:paraId="19E6B5FC" w14:textId="77777777" w:rsidR="00F50D3A" w:rsidRDefault="00395364">
            <w:pPr>
              <w:numPr>
                <w:ilvl w:val="0"/>
                <w:numId w:val="10"/>
              </w:numPr>
              <w:spacing w:after="0" w:line="259" w:lineRule="auto"/>
              <w:ind w:hanging="89"/>
            </w:pPr>
            <w:r>
              <w:t xml:space="preserve">res  </w:t>
            </w:r>
          </w:p>
          <w:p w14:paraId="42E04416" w14:textId="77777777" w:rsidR="00F50D3A" w:rsidRDefault="00395364">
            <w:pPr>
              <w:numPr>
                <w:ilvl w:val="0"/>
                <w:numId w:val="10"/>
              </w:numPr>
              <w:spacing w:after="0" w:line="259" w:lineRule="auto"/>
              <w:ind w:hanging="89"/>
            </w:pPr>
            <w:proofErr w:type="spellStart"/>
            <w:r>
              <w:t>num</w:t>
            </w:r>
            <w:proofErr w:type="spellEnd"/>
            <w:r>
              <w:t xml:space="preserve">  </w:t>
            </w:r>
          </w:p>
          <w:p w14:paraId="30A0DB08" w14:textId="77777777" w:rsidR="00F50D3A" w:rsidRDefault="00395364">
            <w:pPr>
              <w:numPr>
                <w:ilvl w:val="0"/>
                <w:numId w:val="10"/>
              </w:numPr>
              <w:spacing w:after="0" w:line="259" w:lineRule="auto"/>
              <w:ind w:hanging="89"/>
            </w:pPr>
            <w:proofErr w:type="spellStart"/>
            <w:r>
              <w:t>enf</w:t>
            </w:r>
            <w:proofErr w:type="spellEnd"/>
            <w:r>
              <w:t xml:space="preserve"> </w:t>
            </w:r>
          </w:p>
          <w:p w14:paraId="25FF8FFC" w14:textId="77777777" w:rsidR="00F50D3A" w:rsidRDefault="00395364">
            <w:pPr>
              <w:numPr>
                <w:ilvl w:val="0"/>
                <w:numId w:val="10"/>
              </w:numPr>
              <w:spacing w:after="0" w:line="259" w:lineRule="auto"/>
              <w:ind w:hanging="89"/>
            </w:pPr>
            <w:proofErr w:type="spellStart"/>
            <w:r>
              <w:t>vrn</w:t>
            </w:r>
            <w:proofErr w:type="spellEnd"/>
            <w:r>
              <w:t xml:space="preserve"> </w:t>
            </w:r>
          </w:p>
        </w:tc>
        <w:tc>
          <w:tcPr>
            <w:tcW w:w="1382" w:type="dxa"/>
            <w:gridSpan w:val="2"/>
            <w:tcBorders>
              <w:top w:val="single" w:sz="4" w:space="0" w:color="82D1F1"/>
              <w:left w:val="single" w:sz="4" w:space="0" w:color="82D1F1"/>
              <w:bottom w:val="single" w:sz="4" w:space="0" w:color="82D1F1"/>
              <w:right w:val="single" w:sz="4" w:space="0" w:color="82D1F1"/>
            </w:tcBorders>
          </w:tcPr>
          <w:p w14:paraId="5843745D" w14:textId="77777777" w:rsidR="00F50D3A" w:rsidRDefault="00395364">
            <w:pPr>
              <w:spacing w:after="0" w:line="259" w:lineRule="auto"/>
              <w:ind w:left="1" w:firstLine="0"/>
            </w:pPr>
            <w:r>
              <w:t xml:space="preserve">Service </w:t>
            </w:r>
          </w:p>
          <w:p w14:paraId="2ED3E802" w14:textId="77777777" w:rsidR="00F50D3A" w:rsidRDefault="00395364">
            <w:pPr>
              <w:spacing w:after="0" w:line="259" w:lineRule="auto"/>
              <w:ind w:left="1" w:firstLine="0"/>
            </w:pPr>
            <w:r>
              <w:t xml:space="preserve">Provider </w:t>
            </w:r>
          </w:p>
          <w:p w14:paraId="12784E80" w14:textId="77777777" w:rsidR="00F50D3A" w:rsidRDefault="00395364">
            <w:pPr>
              <w:spacing w:after="0" w:line="259" w:lineRule="auto"/>
              <w:ind w:left="1" w:firstLine="0"/>
            </w:pPr>
            <w:r>
              <w:t xml:space="preserve">Context Mark </w:t>
            </w:r>
          </w:p>
          <w:p w14:paraId="2C6839B3" w14:textId="77777777" w:rsidR="00F50D3A" w:rsidRDefault="00395364">
            <w:pPr>
              <w:spacing w:after="0" w:line="259" w:lineRule="auto"/>
              <w:ind w:left="1" w:firstLine="0"/>
            </w:pPr>
            <w:r>
              <w:t xml:space="preserve">OBU Type </w:t>
            </w:r>
          </w:p>
          <w:p w14:paraId="357A6085" w14:textId="77777777" w:rsidR="00F50D3A" w:rsidRDefault="00395364">
            <w:pPr>
              <w:spacing w:after="0" w:line="259" w:lineRule="auto"/>
              <w:ind w:left="1" w:firstLine="0"/>
            </w:pPr>
            <w:r>
              <w:t xml:space="preserve">Date Vehicle </w:t>
            </w:r>
          </w:p>
          <w:p w14:paraId="32D595A6" w14:textId="77777777" w:rsidR="00F50D3A" w:rsidRDefault="00395364">
            <w:pPr>
              <w:spacing w:after="0" w:line="259" w:lineRule="auto"/>
              <w:ind w:left="1" w:firstLine="0"/>
            </w:pPr>
            <w:r>
              <w:t xml:space="preserve">Class Locality </w:t>
            </w:r>
          </w:p>
          <w:p w14:paraId="46DAD826" w14:textId="77777777" w:rsidR="00F50D3A" w:rsidRDefault="00395364">
            <w:pPr>
              <w:spacing w:after="0" w:line="259" w:lineRule="auto"/>
              <w:ind w:left="1" w:firstLine="0"/>
            </w:pPr>
            <w:r>
              <w:t xml:space="preserve">Beacon </w:t>
            </w:r>
          </w:p>
          <w:p w14:paraId="54A2F149" w14:textId="77777777" w:rsidR="00F50D3A" w:rsidRDefault="00395364">
            <w:pPr>
              <w:spacing w:after="0" w:line="259" w:lineRule="auto"/>
              <w:ind w:left="1" w:firstLine="0"/>
            </w:pPr>
            <w:r>
              <w:t xml:space="preserve">Identifier AVI </w:t>
            </w:r>
          </w:p>
          <w:p w14:paraId="0A0F624D" w14:textId="77777777" w:rsidR="00F50D3A" w:rsidRDefault="00395364">
            <w:pPr>
              <w:spacing w:after="0" w:line="259" w:lineRule="auto"/>
              <w:ind w:left="1" w:firstLine="0"/>
            </w:pPr>
            <w:r>
              <w:t xml:space="preserve">AVE </w:t>
            </w:r>
          </w:p>
          <w:p w14:paraId="0B3AE337" w14:textId="77777777" w:rsidR="00F50D3A" w:rsidRDefault="00395364">
            <w:pPr>
              <w:spacing w:after="0" w:line="259" w:lineRule="auto"/>
              <w:ind w:left="1" w:firstLine="0"/>
            </w:pPr>
            <w:r>
              <w:t xml:space="preserve">Resolution </w:t>
            </w:r>
          </w:p>
          <w:p w14:paraId="6D2B7425" w14:textId="77777777" w:rsidR="00F50D3A" w:rsidRDefault="00395364">
            <w:pPr>
              <w:spacing w:after="0" w:line="259" w:lineRule="auto"/>
              <w:ind w:left="1" w:firstLine="0"/>
            </w:pPr>
            <w:proofErr w:type="spellStart"/>
            <w:r>
              <w:t>Num</w:t>
            </w:r>
            <w:proofErr w:type="spellEnd"/>
            <w:r>
              <w:t xml:space="preserve"> </w:t>
            </w:r>
          </w:p>
          <w:p w14:paraId="37138E00" w14:textId="77777777" w:rsidR="00F50D3A" w:rsidRDefault="00395364">
            <w:pPr>
              <w:spacing w:after="0" w:line="259" w:lineRule="auto"/>
              <w:ind w:left="1" w:firstLine="0"/>
              <w:jc w:val="both"/>
            </w:pPr>
            <w:r>
              <w:t xml:space="preserve">Enforcement </w:t>
            </w:r>
          </w:p>
          <w:p w14:paraId="043B78D6" w14:textId="77777777" w:rsidR="00F50D3A" w:rsidRDefault="00395364">
            <w:pPr>
              <w:spacing w:after="0" w:line="259" w:lineRule="auto"/>
              <w:ind w:left="1" w:firstLine="0"/>
            </w:pPr>
            <w:r>
              <w:t xml:space="preserve">Vehicle </w:t>
            </w:r>
          </w:p>
          <w:p w14:paraId="78974D41" w14:textId="77777777" w:rsidR="00F50D3A" w:rsidRDefault="00395364">
            <w:pPr>
              <w:spacing w:after="0" w:line="259" w:lineRule="auto"/>
              <w:ind w:left="1" w:firstLine="0"/>
            </w:pPr>
            <w:r>
              <w:t xml:space="preserve">Registration </w:t>
            </w:r>
          </w:p>
          <w:p w14:paraId="5F7BBA8F" w14:textId="77777777" w:rsidR="00F50D3A" w:rsidRDefault="00395364">
            <w:pPr>
              <w:spacing w:after="0" w:line="259" w:lineRule="auto"/>
              <w:ind w:left="1" w:firstLine="0"/>
            </w:pPr>
            <w:r>
              <w:t xml:space="preserve">Number </w:t>
            </w:r>
          </w:p>
        </w:tc>
        <w:tc>
          <w:tcPr>
            <w:tcW w:w="2141" w:type="dxa"/>
            <w:tcBorders>
              <w:top w:val="single" w:sz="4" w:space="0" w:color="82D1F1"/>
              <w:left w:val="single" w:sz="4" w:space="0" w:color="82D1F1"/>
              <w:bottom w:val="single" w:sz="4" w:space="0" w:color="82D1F1"/>
              <w:right w:val="single" w:sz="4" w:space="0" w:color="82D1F1"/>
            </w:tcBorders>
          </w:tcPr>
          <w:p w14:paraId="28B0FB35" w14:textId="77777777" w:rsidR="00F50D3A" w:rsidRDefault="00395364">
            <w:pPr>
              <w:spacing w:after="2" w:line="236" w:lineRule="auto"/>
              <w:ind w:left="1" w:firstLine="0"/>
            </w:pPr>
            <w:r>
              <w:t xml:space="preserve">Unique TC identifier Detected OBU issuer identifier Detected OBU identifier </w:t>
            </w:r>
          </w:p>
          <w:p w14:paraId="28A1F261" w14:textId="77777777" w:rsidR="00F50D3A" w:rsidRDefault="00395364">
            <w:pPr>
              <w:spacing w:after="0" w:line="236" w:lineRule="auto"/>
              <w:ind w:left="1" w:firstLine="0"/>
            </w:pPr>
            <w:r>
              <w:t xml:space="preserve">Defaulted to ETC Date and time of the </w:t>
            </w:r>
          </w:p>
          <w:p w14:paraId="67DC29B6" w14:textId="77777777" w:rsidR="00F50D3A" w:rsidRDefault="00395364">
            <w:pPr>
              <w:spacing w:after="0" w:line="259" w:lineRule="auto"/>
              <w:ind w:left="1" w:firstLine="0"/>
            </w:pPr>
            <w:r>
              <w:t xml:space="preserve">passage (format </w:t>
            </w:r>
          </w:p>
          <w:p w14:paraId="043906FC" w14:textId="77777777" w:rsidR="00F50D3A" w:rsidRDefault="00395364">
            <w:pPr>
              <w:spacing w:after="0" w:line="259" w:lineRule="auto"/>
              <w:ind w:left="1" w:firstLine="0"/>
              <w:jc w:val="both"/>
            </w:pPr>
            <w:proofErr w:type="spellStart"/>
            <w:r>
              <w:t>YYYYMMDDhhmmss</w:t>
            </w:r>
            <w:proofErr w:type="spellEnd"/>
            <w:r>
              <w:t xml:space="preserve">) </w:t>
            </w:r>
          </w:p>
          <w:p w14:paraId="1ACD9930" w14:textId="77777777" w:rsidR="00F50D3A" w:rsidRDefault="00395364">
            <w:pPr>
              <w:spacing w:after="0" w:line="259" w:lineRule="auto"/>
              <w:ind w:left="1" w:firstLine="0"/>
            </w:pPr>
            <w:r>
              <w:t xml:space="preserve">Universal class Unique </w:t>
            </w:r>
          </w:p>
          <w:p w14:paraId="5C7A7D49" w14:textId="77777777" w:rsidR="00F50D3A" w:rsidRDefault="00395364">
            <w:pPr>
              <w:spacing w:after="0" w:line="236" w:lineRule="auto"/>
              <w:ind w:left="1" w:firstLine="0"/>
              <w:jc w:val="both"/>
            </w:pPr>
            <w:r>
              <w:t xml:space="preserve">identifier of plaza/lane Unique beacon </w:t>
            </w:r>
          </w:p>
          <w:p w14:paraId="622531DC" w14:textId="77777777" w:rsidR="00F50D3A" w:rsidRDefault="00395364">
            <w:pPr>
              <w:spacing w:after="0" w:line="259" w:lineRule="auto"/>
              <w:ind w:left="1" w:firstLine="0"/>
            </w:pPr>
            <w:r>
              <w:t xml:space="preserve">identifier Toll charge including VAT Toll charge excluding VAT Code identifier for type of transaction processing Unique identifier of the passage in TC system Passage enforcement status Read vehicle licence plate </w:t>
            </w:r>
          </w:p>
        </w:tc>
        <w:tc>
          <w:tcPr>
            <w:tcW w:w="1498" w:type="dxa"/>
            <w:gridSpan w:val="2"/>
            <w:tcBorders>
              <w:top w:val="single" w:sz="4" w:space="0" w:color="82D1F1"/>
              <w:left w:val="single" w:sz="4" w:space="0" w:color="82D1F1"/>
              <w:bottom w:val="single" w:sz="4" w:space="0" w:color="82D1F1"/>
              <w:right w:val="single" w:sz="4" w:space="0" w:color="82D1F1"/>
            </w:tcBorders>
          </w:tcPr>
          <w:p w14:paraId="47F6A4AE" w14:textId="77777777" w:rsidR="00F50D3A" w:rsidRDefault="00395364">
            <w:pPr>
              <w:spacing w:after="2" w:line="236" w:lineRule="auto"/>
              <w:ind w:left="1" w:firstLine="0"/>
            </w:pPr>
            <w:r>
              <w:t xml:space="preserve">integer </w:t>
            </w:r>
            <w:proofErr w:type="spellStart"/>
            <w:r>
              <w:t>nvarchar</w:t>
            </w:r>
            <w:proofErr w:type="spellEnd"/>
            <w:r>
              <w:t xml:space="preserve">(25) </w:t>
            </w:r>
            <w:proofErr w:type="spellStart"/>
            <w:r>
              <w:t>nvarchar</w:t>
            </w:r>
            <w:proofErr w:type="spellEnd"/>
            <w:r>
              <w:t xml:space="preserve">(256) </w:t>
            </w:r>
            <w:proofErr w:type="spellStart"/>
            <w:r>
              <w:t>nvarchar</w:t>
            </w:r>
            <w:proofErr w:type="spellEnd"/>
            <w:r>
              <w:t xml:space="preserve">(10) datetime integer float </w:t>
            </w:r>
            <w:proofErr w:type="spellStart"/>
            <w:r>
              <w:t>nvarchar</w:t>
            </w:r>
            <w:proofErr w:type="spellEnd"/>
            <w:r>
              <w:t xml:space="preserve">(10) integer </w:t>
            </w:r>
            <w:proofErr w:type="spellStart"/>
            <w:r>
              <w:t>nvarchar</w:t>
            </w:r>
            <w:proofErr w:type="spellEnd"/>
            <w:r>
              <w:t xml:space="preserve">(50) </w:t>
            </w:r>
          </w:p>
          <w:p w14:paraId="5C18864B" w14:textId="77777777" w:rsidR="00F50D3A" w:rsidRDefault="00395364">
            <w:pPr>
              <w:spacing w:after="0" w:line="259" w:lineRule="auto"/>
              <w:ind w:left="1" w:firstLine="0"/>
            </w:pPr>
            <w:proofErr w:type="spellStart"/>
            <w:r>
              <w:t>nvarchar</w:t>
            </w:r>
            <w:proofErr w:type="spellEnd"/>
            <w:r>
              <w:t xml:space="preserve">(100) </w:t>
            </w:r>
          </w:p>
          <w:p w14:paraId="33E4D858" w14:textId="77777777" w:rsidR="00F50D3A" w:rsidRDefault="00395364">
            <w:pPr>
              <w:spacing w:after="0" w:line="259" w:lineRule="auto"/>
              <w:ind w:left="1" w:firstLine="0"/>
            </w:pPr>
            <w:r>
              <w:t xml:space="preserve"> </w:t>
            </w:r>
          </w:p>
        </w:tc>
        <w:tc>
          <w:tcPr>
            <w:tcW w:w="1645" w:type="dxa"/>
            <w:tcBorders>
              <w:top w:val="single" w:sz="4" w:space="0" w:color="82D1F1"/>
              <w:left w:val="single" w:sz="4" w:space="0" w:color="82D1F1"/>
              <w:bottom w:val="single" w:sz="4" w:space="0" w:color="82D1F1"/>
              <w:right w:val="single" w:sz="4" w:space="0" w:color="82D1F1"/>
            </w:tcBorders>
          </w:tcPr>
          <w:p w14:paraId="6D4C6D6D" w14:textId="77777777" w:rsidR="00F50D3A" w:rsidRDefault="00395364">
            <w:pPr>
              <w:spacing w:after="0" w:line="236" w:lineRule="auto"/>
              <w:ind w:left="1" w:firstLine="0"/>
            </w:pPr>
            <w:r>
              <w:t xml:space="preserve">Every 3 hours from  </w:t>
            </w:r>
          </w:p>
          <w:p w14:paraId="280ED70D" w14:textId="77777777" w:rsidR="00F50D3A" w:rsidRDefault="00395364">
            <w:pPr>
              <w:spacing w:after="2" w:line="236" w:lineRule="auto"/>
              <w:ind w:left="1" w:firstLine="0"/>
            </w:pPr>
            <w:r>
              <w:t xml:space="preserve">6:30 AM to 9:30 PM:  </w:t>
            </w:r>
          </w:p>
          <w:p w14:paraId="5C5CC94A" w14:textId="77777777" w:rsidR="00F50D3A" w:rsidRDefault="00395364">
            <w:pPr>
              <w:spacing w:after="0" w:line="259" w:lineRule="auto"/>
              <w:ind w:left="1" w:firstLine="0"/>
            </w:pPr>
            <w:r>
              <w:t xml:space="preserve"> </w:t>
            </w:r>
          </w:p>
          <w:p w14:paraId="6EA3053B" w14:textId="77777777" w:rsidR="00F50D3A" w:rsidRDefault="00395364">
            <w:pPr>
              <w:numPr>
                <w:ilvl w:val="0"/>
                <w:numId w:val="11"/>
              </w:numPr>
              <w:spacing w:after="0" w:line="259" w:lineRule="auto"/>
              <w:ind w:hanging="96"/>
            </w:pPr>
            <w:r>
              <w:t xml:space="preserve">6:30 AM  </w:t>
            </w:r>
          </w:p>
          <w:p w14:paraId="7F0C911B" w14:textId="77777777" w:rsidR="00F50D3A" w:rsidRDefault="00395364">
            <w:pPr>
              <w:numPr>
                <w:ilvl w:val="0"/>
                <w:numId w:val="11"/>
              </w:numPr>
              <w:spacing w:after="0" w:line="259" w:lineRule="auto"/>
              <w:ind w:hanging="96"/>
            </w:pPr>
            <w:r>
              <w:t xml:space="preserve">9:30 AM  </w:t>
            </w:r>
          </w:p>
          <w:p w14:paraId="2027AF92" w14:textId="77777777" w:rsidR="00F50D3A" w:rsidRDefault="00395364">
            <w:pPr>
              <w:numPr>
                <w:ilvl w:val="0"/>
                <w:numId w:val="11"/>
              </w:numPr>
              <w:spacing w:after="0" w:line="259" w:lineRule="auto"/>
              <w:ind w:hanging="96"/>
            </w:pPr>
            <w:r>
              <w:t xml:space="preserve">12:30 PM  </w:t>
            </w:r>
          </w:p>
          <w:p w14:paraId="2D874A22" w14:textId="77777777" w:rsidR="00F50D3A" w:rsidRDefault="00395364">
            <w:pPr>
              <w:numPr>
                <w:ilvl w:val="0"/>
                <w:numId w:val="11"/>
              </w:numPr>
              <w:spacing w:after="0" w:line="259" w:lineRule="auto"/>
              <w:ind w:hanging="96"/>
            </w:pPr>
            <w:r>
              <w:t xml:space="preserve">3:30 PM  </w:t>
            </w:r>
          </w:p>
          <w:p w14:paraId="3A33C8E1" w14:textId="77777777" w:rsidR="00F50D3A" w:rsidRDefault="00395364">
            <w:pPr>
              <w:numPr>
                <w:ilvl w:val="0"/>
                <w:numId w:val="11"/>
              </w:numPr>
              <w:spacing w:after="0" w:line="259" w:lineRule="auto"/>
              <w:ind w:hanging="96"/>
            </w:pPr>
            <w:r>
              <w:t xml:space="preserve">6:30 PM </w:t>
            </w:r>
          </w:p>
          <w:p w14:paraId="6FAE2100" w14:textId="77777777" w:rsidR="00F50D3A" w:rsidRDefault="00395364">
            <w:pPr>
              <w:numPr>
                <w:ilvl w:val="0"/>
                <w:numId w:val="11"/>
              </w:numPr>
              <w:spacing w:after="0" w:line="259" w:lineRule="auto"/>
              <w:ind w:hanging="96"/>
            </w:pPr>
            <w:r>
              <w:t xml:space="preserve">9:30 PM </w:t>
            </w:r>
          </w:p>
        </w:tc>
      </w:tr>
    </w:tbl>
    <w:p w14:paraId="35565A17" w14:textId="77777777" w:rsidR="00F50D3A" w:rsidRDefault="00395364">
      <w:pPr>
        <w:spacing w:after="144" w:line="259" w:lineRule="auto"/>
        <w:ind w:left="0" w:firstLine="0"/>
      </w:pPr>
      <w:r>
        <w:t xml:space="preserve"> </w:t>
      </w:r>
    </w:p>
    <w:p w14:paraId="4CCAF8B9" w14:textId="77777777" w:rsidR="00F50D3A" w:rsidRDefault="00395364">
      <w:pPr>
        <w:pStyle w:val="Heading2"/>
        <w:spacing w:after="9"/>
        <w:ind w:left="-5"/>
      </w:pPr>
      <w:r>
        <w:t xml:space="preserve">2.3 Invoicing and Payment Policy </w:t>
      </w:r>
    </w:p>
    <w:tbl>
      <w:tblPr>
        <w:tblStyle w:val="TableGrid"/>
        <w:tblW w:w="9014" w:type="dxa"/>
        <w:tblInd w:w="6" w:type="dxa"/>
        <w:tblCellMar>
          <w:top w:w="3" w:type="dxa"/>
          <w:left w:w="107" w:type="dxa"/>
          <w:right w:w="61" w:type="dxa"/>
        </w:tblCellMar>
        <w:tblLook w:val="04A0" w:firstRow="1" w:lastRow="0" w:firstColumn="1" w:lastColumn="0" w:noHBand="0" w:noVBand="1"/>
      </w:tblPr>
      <w:tblGrid>
        <w:gridCol w:w="4506"/>
        <w:gridCol w:w="4508"/>
      </w:tblGrid>
      <w:tr w:rsidR="00F50D3A" w14:paraId="572E63C6" w14:textId="77777777">
        <w:trPr>
          <w:trHeight w:val="481"/>
        </w:trPr>
        <w:tc>
          <w:tcPr>
            <w:tcW w:w="4506" w:type="dxa"/>
            <w:tcBorders>
              <w:top w:val="single" w:sz="4" w:space="0" w:color="82D1F1"/>
              <w:left w:val="single" w:sz="4" w:space="0" w:color="82D1F1"/>
              <w:bottom w:val="single" w:sz="12" w:space="0" w:color="82D1F1"/>
              <w:right w:val="single" w:sz="4" w:space="0" w:color="82D1F1"/>
            </w:tcBorders>
            <w:vAlign w:val="bottom"/>
          </w:tcPr>
          <w:p w14:paraId="21B4BF47" w14:textId="77777777" w:rsidR="00F50D3A" w:rsidRDefault="00395364">
            <w:pPr>
              <w:spacing w:after="0" w:line="259" w:lineRule="auto"/>
              <w:ind w:left="0" w:firstLine="0"/>
            </w:pPr>
            <w:r>
              <w:rPr>
                <w:color w:val="2FB4E9"/>
                <w:sz w:val="28"/>
              </w:rPr>
              <w:t xml:space="preserve">Section </w:t>
            </w:r>
          </w:p>
        </w:tc>
        <w:tc>
          <w:tcPr>
            <w:tcW w:w="4508" w:type="dxa"/>
            <w:tcBorders>
              <w:top w:val="single" w:sz="4" w:space="0" w:color="82D1F1"/>
              <w:left w:val="single" w:sz="4" w:space="0" w:color="82D1F1"/>
              <w:bottom w:val="single" w:sz="12" w:space="0" w:color="82D1F1"/>
              <w:right w:val="single" w:sz="4" w:space="0" w:color="82D1F1"/>
            </w:tcBorders>
          </w:tcPr>
          <w:p w14:paraId="2E1ADA1D" w14:textId="77777777" w:rsidR="00F50D3A" w:rsidRDefault="00395364">
            <w:pPr>
              <w:spacing w:after="0" w:line="259" w:lineRule="auto"/>
              <w:ind w:left="1" w:firstLine="0"/>
            </w:pPr>
            <w:r>
              <w:rPr>
                <w:color w:val="2FB4E9"/>
                <w:sz w:val="28"/>
              </w:rPr>
              <w:t xml:space="preserve">Notes  </w:t>
            </w:r>
          </w:p>
        </w:tc>
      </w:tr>
      <w:tr w:rsidR="00F50D3A" w14:paraId="693DAFDA" w14:textId="77777777">
        <w:trPr>
          <w:trHeight w:val="1577"/>
        </w:trPr>
        <w:tc>
          <w:tcPr>
            <w:tcW w:w="4506" w:type="dxa"/>
            <w:tcBorders>
              <w:top w:val="single" w:sz="12" w:space="0" w:color="82D1F1"/>
              <w:left w:val="single" w:sz="4" w:space="0" w:color="82D1F1"/>
              <w:bottom w:val="single" w:sz="4" w:space="0" w:color="82D1F1"/>
              <w:right w:val="single" w:sz="4" w:space="0" w:color="82D1F1"/>
            </w:tcBorders>
            <w:shd w:val="clear" w:color="auto" w:fill="D5EFFA"/>
          </w:tcPr>
          <w:p w14:paraId="29B68995" w14:textId="77777777" w:rsidR="00F50D3A" w:rsidRDefault="00395364">
            <w:pPr>
              <w:spacing w:after="0" w:line="259" w:lineRule="auto"/>
              <w:ind w:left="0" w:firstLine="0"/>
            </w:pPr>
            <w:r>
              <w:rPr>
                <w:b/>
              </w:rPr>
              <w:t xml:space="preserve">Settlement Statement </w:t>
            </w:r>
          </w:p>
        </w:tc>
        <w:tc>
          <w:tcPr>
            <w:tcW w:w="4508" w:type="dxa"/>
            <w:tcBorders>
              <w:top w:val="single" w:sz="12" w:space="0" w:color="82D1F1"/>
              <w:left w:val="single" w:sz="4" w:space="0" w:color="82D1F1"/>
              <w:bottom w:val="single" w:sz="4" w:space="0" w:color="82D1F1"/>
              <w:right w:val="single" w:sz="4" w:space="0" w:color="82D1F1"/>
            </w:tcBorders>
            <w:shd w:val="clear" w:color="auto" w:fill="D5EFFA"/>
          </w:tcPr>
          <w:p w14:paraId="5AC8ED1F" w14:textId="77777777" w:rsidR="00F50D3A" w:rsidRDefault="00395364">
            <w:pPr>
              <w:spacing w:after="0" w:line="259" w:lineRule="auto"/>
              <w:ind w:left="1" w:firstLine="0"/>
            </w:pPr>
            <w:r>
              <w:t xml:space="preserve">The IMSP issues a Settlement Statement to the TC and TSP setting out the amounts owed by or to such TC or TSP by or to each other TC or TSP. Settlement Statements are issued at a frequency to be agreed between the TC and TSP </w:t>
            </w:r>
          </w:p>
        </w:tc>
      </w:tr>
      <w:tr w:rsidR="00F50D3A" w14:paraId="2E22D489" w14:textId="77777777">
        <w:trPr>
          <w:trHeight w:val="1573"/>
        </w:trPr>
        <w:tc>
          <w:tcPr>
            <w:tcW w:w="4506" w:type="dxa"/>
            <w:tcBorders>
              <w:top w:val="single" w:sz="4" w:space="0" w:color="82D1F1"/>
              <w:left w:val="single" w:sz="4" w:space="0" w:color="82D1F1"/>
              <w:bottom w:val="single" w:sz="4" w:space="0" w:color="82D1F1"/>
              <w:right w:val="single" w:sz="4" w:space="0" w:color="82D1F1"/>
            </w:tcBorders>
          </w:tcPr>
          <w:p w14:paraId="7E90261E" w14:textId="77777777" w:rsidR="00F50D3A" w:rsidRDefault="00395364">
            <w:pPr>
              <w:spacing w:after="0" w:line="259" w:lineRule="auto"/>
              <w:ind w:left="0" w:firstLine="0"/>
            </w:pPr>
            <w:r>
              <w:rPr>
                <w:b/>
              </w:rPr>
              <w:lastRenderedPageBreak/>
              <w:t xml:space="preserve">TC invoicing TSP </w:t>
            </w:r>
          </w:p>
        </w:tc>
        <w:tc>
          <w:tcPr>
            <w:tcW w:w="4508" w:type="dxa"/>
            <w:tcBorders>
              <w:top w:val="single" w:sz="4" w:space="0" w:color="82D1F1"/>
              <w:left w:val="single" w:sz="4" w:space="0" w:color="82D1F1"/>
              <w:bottom w:val="single" w:sz="4" w:space="0" w:color="82D1F1"/>
              <w:right w:val="single" w:sz="4" w:space="0" w:color="82D1F1"/>
            </w:tcBorders>
          </w:tcPr>
          <w:p w14:paraId="7B134AA0" w14:textId="77777777" w:rsidR="00F50D3A" w:rsidRDefault="00395364">
            <w:pPr>
              <w:spacing w:after="0" w:line="259" w:lineRule="auto"/>
              <w:ind w:left="1" w:firstLine="0"/>
            </w:pPr>
            <w:r>
              <w:t xml:space="preserve">The TC issues a payment request to the TSP for an amount equal to settlement amount set out in the Settlement Statement issued by the IMSP less the collection fee due to the TSP. Details of the payment process are set out in the TCA. </w:t>
            </w:r>
          </w:p>
        </w:tc>
      </w:tr>
      <w:tr w:rsidR="00F50D3A" w14:paraId="197EFE0C" w14:textId="77777777">
        <w:trPr>
          <w:trHeight w:val="991"/>
        </w:trPr>
        <w:tc>
          <w:tcPr>
            <w:tcW w:w="4506" w:type="dxa"/>
            <w:tcBorders>
              <w:top w:val="single" w:sz="4" w:space="0" w:color="82D1F1"/>
              <w:left w:val="single" w:sz="4" w:space="0" w:color="82D1F1"/>
              <w:bottom w:val="single" w:sz="4" w:space="0" w:color="82D1F1"/>
              <w:right w:val="single" w:sz="4" w:space="0" w:color="82D1F1"/>
            </w:tcBorders>
            <w:shd w:val="clear" w:color="auto" w:fill="D5EFFA"/>
          </w:tcPr>
          <w:p w14:paraId="094061B7" w14:textId="77777777" w:rsidR="00F50D3A" w:rsidRDefault="00395364">
            <w:pPr>
              <w:spacing w:after="0" w:line="259" w:lineRule="auto"/>
              <w:ind w:left="0" w:firstLine="0"/>
            </w:pPr>
            <w:r>
              <w:rPr>
                <w:b/>
              </w:rPr>
              <w:t xml:space="preserve">TSP paying TC </w:t>
            </w:r>
          </w:p>
        </w:tc>
        <w:tc>
          <w:tcPr>
            <w:tcW w:w="4508" w:type="dxa"/>
            <w:tcBorders>
              <w:top w:val="single" w:sz="4" w:space="0" w:color="82D1F1"/>
              <w:left w:val="single" w:sz="4" w:space="0" w:color="82D1F1"/>
              <w:bottom w:val="single" w:sz="4" w:space="0" w:color="82D1F1"/>
              <w:right w:val="single" w:sz="4" w:space="0" w:color="82D1F1"/>
            </w:tcBorders>
            <w:shd w:val="clear" w:color="auto" w:fill="D5EFFA"/>
          </w:tcPr>
          <w:p w14:paraId="05F16A13" w14:textId="77777777" w:rsidR="00F50D3A" w:rsidRDefault="00395364">
            <w:pPr>
              <w:spacing w:after="0" w:line="259" w:lineRule="auto"/>
              <w:ind w:left="1" w:firstLine="0"/>
            </w:pPr>
            <w:r>
              <w:t xml:space="preserve">Payments are made by electronic funds transfer to an account specified by the TC. Further details are set out in the TCA. </w:t>
            </w:r>
          </w:p>
        </w:tc>
      </w:tr>
    </w:tbl>
    <w:p w14:paraId="37E4CD1B" w14:textId="77777777" w:rsidR="00F50D3A" w:rsidRDefault="00395364">
      <w:pPr>
        <w:spacing w:after="98" w:line="259" w:lineRule="auto"/>
        <w:ind w:left="0" w:firstLine="0"/>
      </w:pPr>
      <w:r>
        <w:rPr>
          <w:b/>
          <w:color w:val="004587"/>
          <w:sz w:val="28"/>
        </w:rPr>
        <w:t xml:space="preserve"> </w:t>
      </w:r>
    </w:p>
    <w:p w14:paraId="5F9D47DE" w14:textId="77777777" w:rsidR="00F50D3A" w:rsidRDefault="00395364">
      <w:pPr>
        <w:pStyle w:val="Heading2"/>
        <w:ind w:left="-5"/>
      </w:pPr>
      <w:r>
        <w:t xml:space="preserve">2.4 Commercial Conditions </w:t>
      </w:r>
    </w:p>
    <w:p w14:paraId="2FDAFF4B" w14:textId="77777777" w:rsidR="00F50D3A" w:rsidRDefault="00395364">
      <w:pPr>
        <w:tabs>
          <w:tab w:val="center" w:pos="2426"/>
        </w:tabs>
        <w:ind w:left="-15" w:firstLine="0"/>
      </w:pPr>
      <w:r>
        <w:t xml:space="preserve">2.4.1 </w:t>
      </w:r>
      <w:r>
        <w:tab/>
        <w:t xml:space="preserve">Requirements to be met by the TC </w:t>
      </w:r>
    </w:p>
    <w:p w14:paraId="7F80AC72" w14:textId="77777777" w:rsidR="00F50D3A" w:rsidRDefault="00395364">
      <w:pPr>
        <w:spacing w:after="0" w:line="259" w:lineRule="auto"/>
        <w:ind w:left="0" w:firstLine="0"/>
      </w:pPr>
      <w:r>
        <w:t xml:space="preserve"> </w:t>
      </w:r>
    </w:p>
    <w:tbl>
      <w:tblPr>
        <w:tblStyle w:val="TableGrid"/>
        <w:tblW w:w="9014" w:type="dxa"/>
        <w:tblInd w:w="6" w:type="dxa"/>
        <w:tblCellMar>
          <w:top w:w="4" w:type="dxa"/>
          <w:left w:w="107" w:type="dxa"/>
          <w:bottom w:w="17" w:type="dxa"/>
          <w:right w:w="63" w:type="dxa"/>
        </w:tblCellMar>
        <w:tblLook w:val="04A0" w:firstRow="1" w:lastRow="0" w:firstColumn="1" w:lastColumn="0" w:noHBand="0" w:noVBand="1"/>
      </w:tblPr>
      <w:tblGrid>
        <w:gridCol w:w="4506"/>
        <w:gridCol w:w="4508"/>
      </w:tblGrid>
      <w:tr w:rsidR="00F50D3A" w14:paraId="74F30920" w14:textId="77777777">
        <w:trPr>
          <w:trHeight w:val="479"/>
        </w:trPr>
        <w:tc>
          <w:tcPr>
            <w:tcW w:w="4506" w:type="dxa"/>
            <w:tcBorders>
              <w:top w:val="single" w:sz="4" w:space="0" w:color="82D1F1"/>
              <w:left w:val="single" w:sz="4" w:space="0" w:color="82D1F1"/>
              <w:bottom w:val="single" w:sz="12" w:space="0" w:color="82D1F1"/>
              <w:right w:val="single" w:sz="4" w:space="0" w:color="82D1F1"/>
            </w:tcBorders>
            <w:vAlign w:val="bottom"/>
          </w:tcPr>
          <w:p w14:paraId="06648735" w14:textId="77777777" w:rsidR="00F50D3A" w:rsidRDefault="00395364">
            <w:pPr>
              <w:spacing w:after="0" w:line="259" w:lineRule="auto"/>
              <w:ind w:left="0" w:firstLine="0"/>
            </w:pPr>
            <w:r>
              <w:rPr>
                <w:color w:val="2FB4E9"/>
                <w:sz w:val="28"/>
              </w:rPr>
              <w:t xml:space="preserve">Section </w:t>
            </w:r>
          </w:p>
        </w:tc>
        <w:tc>
          <w:tcPr>
            <w:tcW w:w="4508" w:type="dxa"/>
            <w:tcBorders>
              <w:top w:val="single" w:sz="4" w:space="0" w:color="82D1F1"/>
              <w:left w:val="single" w:sz="4" w:space="0" w:color="82D1F1"/>
              <w:bottom w:val="single" w:sz="12" w:space="0" w:color="82D1F1"/>
              <w:right w:val="single" w:sz="4" w:space="0" w:color="82D1F1"/>
            </w:tcBorders>
          </w:tcPr>
          <w:p w14:paraId="59A39E0C" w14:textId="77777777" w:rsidR="00F50D3A" w:rsidRDefault="00395364">
            <w:pPr>
              <w:spacing w:after="0" w:line="259" w:lineRule="auto"/>
              <w:ind w:left="1" w:firstLine="0"/>
            </w:pPr>
            <w:r>
              <w:rPr>
                <w:color w:val="2FB4E9"/>
                <w:sz w:val="28"/>
              </w:rPr>
              <w:t xml:space="preserve">Notes  </w:t>
            </w:r>
          </w:p>
        </w:tc>
      </w:tr>
      <w:tr w:rsidR="00F50D3A" w14:paraId="47E94D55" w14:textId="77777777">
        <w:trPr>
          <w:trHeight w:val="4176"/>
        </w:trPr>
        <w:tc>
          <w:tcPr>
            <w:tcW w:w="4506" w:type="dxa"/>
            <w:tcBorders>
              <w:top w:val="single" w:sz="12" w:space="0" w:color="82D1F1"/>
              <w:left w:val="single" w:sz="4" w:space="0" w:color="82D1F1"/>
              <w:bottom w:val="single" w:sz="4" w:space="0" w:color="82D1F1"/>
              <w:right w:val="single" w:sz="4" w:space="0" w:color="82D1F1"/>
            </w:tcBorders>
            <w:shd w:val="clear" w:color="auto" w:fill="D5EFFA"/>
          </w:tcPr>
          <w:p w14:paraId="2AB1F781" w14:textId="77777777" w:rsidR="00F50D3A" w:rsidRDefault="00395364">
            <w:pPr>
              <w:spacing w:after="0" w:line="259" w:lineRule="auto"/>
              <w:ind w:left="0" w:firstLine="0"/>
            </w:pPr>
            <w:r>
              <w:rPr>
                <w:b/>
              </w:rPr>
              <w:t xml:space="preserve">Signs and signals </w:t>
            </w:r>
          </w:p>
        </w:tc>
        <w:tc>
          <w:tcPr>
            <w:tcW w:w="4508" w:type="dxa"/>
            <w:tcBorders>
              <w:top w:val="single" w:sz="12" w:space="0" w:color="82D1F1"/>
              <w:left w:val="single" w:sz="4" w:space="0" w:color="82D1F1"/>
              <w:bottom w:val="single" w:sz="4" w:space="0" w:color="82D1F1"/>
              <w:right w:val="single" w:sz="4" w:space="0" w:color="82D1F1"/>
            </w:tcBorders>
            <w:shd w:val="clear" w:color="auto" w:fill="D5EFFA"/>
          </w:tcPr>
          <w:p w14:paraId="0870D27A" w14:textId="77777777" w:rsidR="00F50D3A" w:rsidRDefault="00395364">
            <w:pPr>
              <w:spacing w:after="2" w:line="236" w:lineRule="auto"/>
              <w:ind w:left="1" w:firstLine="0"/>
            </w:pPr>
            <w:r>
              <w:t xml:space="preserve">The M50 toll domain operates as an Open Road Tolling (ORT) system. Therefore, Service Users do not require any particular signage to direct them to an appropriate lane.  </w:t>
            </w:r>
          </w:p>
          <w:p w14:paraId="6B475827" w14:textId="77777777" w:rsidR="00F50D3A" w:rsidRDefault="00395364">
            <w:pPr>
              <w:spacing w:after="0" w:line="259" w:lineRule="auto"/>
              <w:ind w:left="1" w:firstLine="0"/>
            </w:pPr>
            <w:r>
              <w:t xml:space="preserve"> </w:t>
            </w:r>
          </w:p>
          <w:p w14:paraId="2B0DB519" w14:textId="77777777" w:rsidR="00F50D3A" w:rsidRDefault="00395364">
            <w:pPr>
              <w:spacing w:after="0" w:line="259" w:lineRule="auto"/>
              <w:ind w:left="1" w:right="6" w:firstLine="0"/>
            </w:pPr>
            <w:r>
              <w:t xml:space="preserve">As the M50 is an ORT system, to ensure the Service User is aware of the toll, distinctive signs are placed at the toll point, notifying drivers of the requirement to pay the toll and how it can be paid. Additional signage is provided on the approach to and following the toll point. To increase overall public awareness, informative campaigns are implemented on an ongoing basis. </w:t>
            </w:r>
          </w:p>
        </w:tc>
      </w:tr>
      <w:tr w:rsidR="00F50D3A" w14:paraId="0F6BBB26" w14:textId="77777777">
        <w:trPr>
          <w:trHeight w:val="1573"/>
        </w:trPr>
        <w:tc>
          <w:tcPr>
            <w:tcW w:w="4506" w:type="dxa"/>
            <w:tcBorders>
              <w:top w:val="single" w:sz="4" w:space="0" w:color="82D1F1"/>
              <w:left w:val="single" w:sz="4" w:space="0" w:color="82D1F1"/>
              <w:bottom w:val="single" w:sz="4" w:space="0" w:color="82D1F1"/>
              <w:right w:val="single" w:sz="4" w:space="0" w:color="82D1F1"/>
            </w:tcBorders>
          </w:tcPr>
          <w:p w14:paraId="5C489A22" w14:textId="77777777" w:rsidR="00F50D3A" w:rsidRDefault="00395364">
            <w:pPr>
              <w:spacing w:after="0" w:line="259" w:lineRule="auto"/>
              <w:ind w:left="0" w:firstLine="0"/>
            </w:pPr>
            <w:r>
              <w:rPr>
                <w:b/>
              </w:rPr>
              <w:t xml:space="preserve">Collection fee offered by TC to EETS Provider </w:t>
            </w:r>
          </w:p>
        </w:tc>
        <w:tc>
          <w:tcPr>
            <w:tcW w:w="4508" w:type="dxa"/>
            <w:tcBorders>
              <w:top w:val="single" w:sz="4" w:space="0" w:color="82D1F1"/>
              <w:left w:val="single" w:sz="4" w:space="0" w:color="82D1F1"/>
              <w:bottom w:val="single" w:sz="4" w:space="0" w:color="82D1F1"/>
              <w:right w:val="single" w:sz="4" w:space="0" w:color="82D1F1"/>
            </w:tcBorders>
          </w:tcPr>
          <w:p w14:paraId="684DE58A" w14:textId="77777777" w:rsidR="00F50D3A" w:rsidRDefault="00395364">
            <w:pPr>
              <w:spacing w:after="0" w:line="259" w:lineRule="auto"/>
              <w:ind w:left="1" w:firstLine="0"/>
            </w:pPr>
            <w:r>
              <w:t xml:space="preserve">To be specified in Schedule 1 of the TCA between the Parties. This fee is typically a percentage of the settlement amount collected in a given period, as defined in the individual TCAs. The collection fee is subject to negotiation between TII and the TSP. </w:t>
            </w:r>
          </w:p>
        </w:tc>
      </w:tr>
    </w:tbl>
    <w:p w14:paraId="32F75661" w14:textId="77777777" w:rsidR="00F50D3A" w:rsidRDefault="00395364">
      <w:pPr>
        <w:spacing w:after="47" w:line="259" w:lineRule="auto"/>
        <w:ind w:left="0" w:firstLine="0"/>
      </w:pPr>
      <w:r>
        <w:rPr>
          <w:b/>
          <w:color w:val="004587"/>
          <w:sz w:val="28"/>
        </w:rPr>
        <w:t xml:space="preserve"> </w:t>
      </w:r>
    </w:p>
    <w:p w14:paraId="55B99C35" w14:textId="77777777" w:rsidR="00F50D3A" w:rsidRDefault="00395364">
      <w:pPr>
        <w:tabs>
          <w:tab w:val="center" w:pos="2399"/>
        </w:tabs>
        <w:spacing w:after="154"/>
        <w:ind w:left="-15" w:firstLine="0"/>
      </w:pPr>
      <w:r>
        <w:t xml:space="preserve">2.4.2 </w:t>
      </w:r>
      <w:r>
        <w:tab/>
        <w:t xml:space="preserve">Procedure for agreeing a contract </w:t>
      </w:r>
    </w:p>
    <w:p w14:paraId="4CAA7658" w14:textId="77777777" w:rsidR="00F50D3A" w:rsidRDefault="00395364">
      <w:pPr>
        <w:spacing w:after="0" w:line="259" w:lineRule="auto"/>
        <w:ind w:left="0" w:firstLine="0"/>
      </w:pPr>
      <w:r>
        <w:rPr>
          <w:b/>
          <w:color w:val="004587"/>
          <w:sz w:val="28"/>
        </w:rPr>
        <w:t xml:space="preserve"> </w:t>
      </w:r>
    </w:p>
    <w:tbl>
      <w:tblPr>
        <w:tblStyle w:val="TableGrid"/>
        <w:tblW w:w="9014" w:type="dxa"/>
        <w:tblInd w:w="6" w:type="dxa"/>
        <w:tblCellMar>
          <w:top w:w="4" w:type="dxa"/>
          <w:left w:w="107" w:type="dxa"/>
          <w:bottom w:w="4" w:type="dxa"/>
          <w:right w:w="115" w:type="dxa"/>
        </w:tblCellMar>
        <w:tblLook w:val="04A0" w:firstRow="1" w:lastRow="0" w:firstColumn="1" w:lastColumn="0" w:noHBand="0" w:noVBand="1"/>
      </w:tblPr>
      <w:tblGrid>
        <w:gridCol w:w="4506"/>
        <w:gridCol w:w="4508"/>
      </w:tblGrid>
      <w:tr w:rsidR="00F50D3A" w14:paraId="2A592D0B" w14:textId="77777777">
        <w:trPr>
          <w:trHeight w:val="481"/>
        </w:trPr>
        <w:tc>
          <w:tcPr>
            <w:tcW w:w="4506" w:type="dxa"/>
            <w:tcBorders>
              <w:top w:val="single" w:sz="4" w:space="0" w:color="82D1F1"/>
              <w:left w:val="single" w:sz="4" w:space="0" w:color="82D1F1"/>
              <w:bottom w:val="single" w:sz="12" w:space="0" w:color="82D1F1"/>
              <w:right w:val="single" w:sz="4" w:space="0" w:color="82D1F1"/>
            </w:tcBorders>
            <w:vAlign w:val="bottom"/>
          </w:tcPr>
          <w:p w14:paraId="428AE6AF" w14:textId="77777777" w:rsidR="00F50D3A" w:rsidRDefault="00395364">
            <w:pPr>
              <w:spacing w:after="0" w:line="259" w:lineRule="auto"/>
              <w:ind w:left="0" w:firstLine="0"/>
            </w:pPr>
            <w:r>
              <w:rPr>
                <w:color w:val="2FB4E9"/>
                <w:sz w:val="28"/>
              </w:rPr>
              <w:t xml:space="preserve">Section </w:t>
            </w:r>
          </w:p>
        </w:tc>
        <w:tc>
          <w:tcPr>
            <w:tcW w:w="4508" w:type="dxa"/>
            <w:tcBorders>
              <w:top w:val="single" w:sz="4" w:space="0" w:color="82D1F1"/>
              <w:left w:val="single" w:sz="4" w:space="0" w:color="82D1F1"/>
              <w:bottom w:val="single" w:sz="12" w:space="0" w:color="82D1F1"/>
              <w:right w:val="single" w:sz="4" w:space="0" w:color="82D1F1"/>
            </w:tcBorders>
          </w:tcPr>
          <w:p w14:paraId="65C0A3CF" w14:textId="77777777" w:rsidR="00F50D3A" w:rsidRDefault="00395364">
            <w:pPr>
              <w:spacing w:after="0" w:line="259" w:lineRule="auto"/>
              <w:ind w:left="1" w:firstLine="0"/>
            </w:pPr>
            <w:r>
              <w:rPr>
                <w:color w:val="2FB4E9"/>
                <w:sz w:val="28"/>
              </w:rPr>
              <w:t xml:space="preserve">Notes  </w:t>
            </w:r>
          </w:p>
        </w:tc>
      </w:tr>
      <w:tr w:rsidR="00F50D3A" w14:paraId="59E4A80B" w14:textId="77777777">
        <w:trPr>
          <w:trHeight w:val="432"/>
        </w:trPr>
        <w:tc>
          <w:tcPr>
            <w:tcW w:w="4506" w:type="dxa"/>
            <w:tcBorders>
              <w:top w:val="single" w:sz="12" w:space="0" w:color="82D1F1"/>
              <w:left w:val="single" w:sz="4" w:space="0" w:color="82D1F1"/>
              <w:bottom w:val="single" w:sz="4" w:space="0" w:color="82D1F1"/>
              <w:right w:val="single" w:sz="4" w:space="0" w:color="82D1F1"/>
            </w:tcBorders>
            <w:shd w:val="clear" w:color="auto" w:fill="D5EFFA"/>
            <w:vAlign w:val="bottom"/>
          </w:tcPr>
          <w:p w14:paraId="3A21C79A" w14:textId="77777777" w:rsidR="00F50D3A" w:rsidRDefault="00395364">
            <w:pPr>
              <w:spacing w:after="0" w:line="259" w:lineRule="auto"/>
              <w:ind w:left="0" w:firstLine="0"/>
            </w:pPr>
            <w:r>
              <w:rPr>
                <w:b/>
              </w:rPr>
              <w:lastRenderedPageBreak/>
              <w:t xml:space="preserve">Initiating the contract process </w:t>
            </w:r>
          </w:p>
        </w:tc>
        <w:tc>
          <w:tcPr>
            <w:tcW w:w="4508" w:type="dxa"/>
            <w:tcBorders>
              <w:top w:val="single" w:sz="12" w:space="0" w:color="82D1F1"/>
              <w:left w:val="single" w:sz="4" w:space="0" w:color="82D1F1"/>
              <w:bottom w:val="single" w:sz="4" w:space="0" w:color="82D1F1"/>
              <w:right w:val="single" w:sz="4" w:space="0" w:color="82D1F1"/>
            </w:tcBorders>
            <w:shd w:val="clear" w:color="auto" w:fill="D5EFFA"/>
          </w:tcPr>
          <w:p w14:paraId="3CF33929" w14:textId="77777777" w:rsidR="00F50D3A" w:rsidRDefault="00395364">
            <w:pPr>
              <w:spacing w:after="0" w:line="259" w:lineRule="auto"/>
              <w:ind w:left="1" w:firstLine="0"/>
            </w:pPr>
            <w:r>
              <w:t xml:space="preserve">To initiate the contract process please contact TII. </w:t>
            </w:r>
          </w:p>
        </w:tc>
      </w:tr>
      <w:tr w:rsidR="00F50D3A" w14:paraId="3582BEA4" w14:textId="77777777">
        <w:trPr>
          <w:trHeight w:val="1573"/>
        </w:trPr>
        <w:tc>
          <w:tcPr>
            <w:tcW w:w="4506" w:type="dxa"/>
            <w:tcBorders>
              <w:top w:val="single" w:sz="4" w:space="0" w:color="82D1F1"/>
              <w:left w:val="single" w:sz="4" w:space="0" w:color="82D1F1"/>
              <w:bottom w:val="single" w:sz="4" w:space="0" w:color="82D1F1"/>
              <w:right w:val="single" w:sz="4" w:space="0" w:color="82D1F1"/>
            </w:tcBorders>
          </w:tcPr>
          <w:p w14:paraId="340F9925" w14:textId="77777777" w:rsidR="00F50D3A" w:rsidRDefault="00395364">
            <w:pPr>
              <w:spacing w:after="0" w:line="259" w:lineRule="auto"/>
              <w:ind w:left="0" w:firstLine="0"/>
            </w:pPr>
            <w:r>
              <w:rPr>
                <w:b/>
              </w:rPr>
              <w:t xml:space="preserve">Commercial conditions </w:t>
            </w:r>
          </w:p>
        </w:tc>
        <w:tc>
          <w:tcPr>
            <w:tcW w:w="4508" w:type="dxa"/>
            <w:tcBorders>
              <w:top w:val="single" w:sz="4" w:space="0" w:color="82D1F1"/>
              <w:left w:val="single" w:sz="4" w:space="0" w:color="82D1F1"/>
              <w:bottom w:val="single" w:sz="4" w:space="0" w:color="82D1F1"/>
              <w:right w:val="single" w:sz="4" w:space="0" w:color="82D1F1"/>
            </w:tcBorders>
          </w:tcPr>
          <w:p w14:paraId="5572F08A" w14:textId="77777777" w:rsidR="00F50D3A" w:rsidRDefault="00395364">
            <w:pPr>
              <w:spacing w:after="0" w:line="259" w:lineRule="auto"/>
              <w:ind w:left="1" w:firstLine="0"/>
            </w:pPr>
            <w:r>
              <w:t xml:space="preserve">Charges will vary depending on a range of factors and are subject to commercial agreement between the parties. These arrangements are agreed bilaterally and are documented in the TCAs. </w:t>
            </w:r>
          </w:p>
        </w:tc>
      </w:tr>
    </w:tbl>
    <w:p w14:paraId="73D8719E" w14:textId="77777777" w:rsidR="00F50D3A" w:rsidRDefault="00395364">
      <w:pPr>
        <w:spacing w:after="0" w:line="259" w:lineRule="auto"/>
        <w:ind w:left="0" w:firstLine="0"/>
      </w:pPr>
      <w:r>
        <w:rPr>
          <w:b/>
          <w:color w:val="004587"/>
          <w:sz w:val="28"/>
        </w:rPr>
        <w:t xml:space="preserve"> </w:t>
      </w:r>
    </w:p>
    <w:p w14:paraId="518BA4A5" w14:textId="77777777" w:rsidR="00F50D3A" w:rsidRDefault="00395364">
      <w:pPr>
        <w:pStyle w:val="Heading1"/>
        <w:ind w:left="-5"/>
      </w:pPr>
      <w:r>
        <w:t xml:space="preserve">3.  REQUIREMENTS TOWARDS EETS PROVIDERS </w:t>
      </w:r>
    </w:p>
    <w:p w14:paraId="75383DA8" w14:textId="77777777" w:rsidR="00F50D3A" w:rsidRDefault="00395364">
      <w:pPr>
        <w:ind w:left="-5"/>
      </w:pPr>
      <w:r>
        <w:t xml:space="preserve">The IFA and respective TCAs include for general payment procedures. The following terms are specific to the TCAs for all TSPs (including EETS Providers) whose Service Users use the M50 toll domain. </w:t>
      </w:r>
    </w:p>
    <w:p w14:paraId="09A24F92" w14:textId="77777777" w:rsidR="00F50D3A" w:rsidRDefault="00395364">
      <w:pPr>
        <w:spacing w:after="142" w:line="259" w:lineRule="auto"/>
        <w:ind w:left="0" w:firstLine="0"/>
      </w:pPr>
      <w:r>
        <w:t xml:space="preserve"> </w:t>
      </w:r>
    </w:p>
    <w:p w14:paraId="32D33921" w14:textId="77777777" w:rsidR="00F50D3A" w:rsidRDefault="00395364">
      <w:pPr>
        <w:pStyle w:val="Heading2"/>
        <w:ind w:left="-5"/>
      </w:pPr>
      <w:r>
        <w:t xml:space="preserve">3.1 Requirements to be met by TSPs  </w:t>
      </w:r>
    </w:p>
    <w:p w14:paraId="6C437D74" w14:textId="77777777" w:rsidR="00F50D3A" w:rsidRDefault="00395364">
      <w:pPr>
        <w:spacing w:after="0" w:line="259" w:lineRule="auto"/>
        <w:ind w:left="0" w:firstLine="0"/>
      </w:pPr>
      <w:r>
        <w:t xml:space="preserve"> </w:t>
      </w:r>
    </w:p>
    <w:tbl>
      <w:tblPr>
        <w:tblStyle w:val="TableGrid"/>
        <w:tblW w:w="9014" w:type="dxa"/>
        <w:tblInd w:w="6" w:type="dxa"/>
        <w:tblCellMar>
          <w:top w:w="3" w:type="dxa"/>
          <w:left w:w="107" w:type="dxa"/>
          <w:right w:w="58" w:type="dxa"/>
        </w:tblCellMar>
        <w:tblLook w:val="04A0" w:firstRow="1" w:lastRow="0" w:firstColumn="1" w:lastColumn="0" w:noHBand="0" w:noVBand="1"/>
      </w:tblPr>
      <w:tblGrid>
        <w:gridCol w:w="4506"/>
        <w:gridCol w:w="4508"/>
      </w:tblGrid>
      <w:tr w:rsidR="00F50D3A" w14:paraId="4626E093" w14:textId="77777777">
        <w:trPr>
          <w:trHeight w:val="2521"/>
        </w:trPr>
        <w:tc>
          <w:tcPr>
            <w:tcW w:w="4506" w:type="dxa"/>
            <w:tcBorders>
              <w:top w:val="single" w:sz="4" w:space="0" w:color="82D1F1"/>
              <w:left w:val="single" w:sz="4" w:space="0" w:color="82D1F1"/>
              <w:bottom w:val="single" w:sz="12" w:space="0" w:color="82D1F1"/>
              <w:right w:val="single" w:sz="4" w:space="0" w:color="82D1F1"/>
            </w:tcBorders>
          </w:tcPr>
          <w:p w14:paraId="7430BC81" w14:textId="77777777" w:rsidR="00F50D3A" w:rsidRDefault="00395364">
            <w:pPr>
              <w:spacing w:after="0" w:line="259" w:lineRule="auto"/>
              <w:ind w:left="0" w:firstLine="0"/>
            </w:pPr>
            <w:r>
              <w:rPr>
                <w:b/>
              </w:rPr>
              <w:t xml:space="preserve">Access fee levied by IMSP on TSP </w:t>
            </w:r>
          </w:p>
        </w:tc>
        <w:tc>
          <w:tcPr>
            <w:tcW w:w="4508" w:type="dxa"/>
            <w:tcBorders>
              <w:top w:val="single" w:sz="4" w:space="0" w:color="82D1F1"/>
              <w:left w:val="single" w:sz="4" w:space="0" w:color="82D1F1"/>
              <w:bottom w:val="single" w:sz="12" w:space="0" w:color="82D1F1"/>
              <w:right w:val="single" w:sz="4" w:space="0" w:color="82D1F1"/>
            </w:tcBorders>
          </w:tcPr>
          <w:p w14:paraId="0CBC9A53" w14:textId="77777777" w:rsidR="00F50D3A" w:rsidRDefault="00395364">
            <w:pPr>
              <w:spacing w:after="1" w:line="243" w:lineRule="auto"/>
              <w:ind w:left="1" w:right="3" w:firstLine="0"/>
            </w:pPr>
            <w:r>
              <w:rPr>
                <w:b/>
              </w:rPr>
              <w:t xml:space="preserve">Access fee to cover capital costs will be payable by the TSP to the IMSP. These fees cover a fixed operational payment, a variable operational payment for each ETC transaction and a one-off integration payment. </w:t>
            </w:r>
          </w:p>
          <w:p w14:paraId="3A792690" w14:textId="77777777" w:rsidR="00F50D3A" w:rsidRDefault="00395364">
            <w:pPr>
              <w:spacing w:after="0" w:line="259" w:lineRule="auto"/>
              <w:ind w:left="1" w:firstLine="0"/>
            </w:pPr>
            <w:r>
              <w:rPr>
                <w:b/>
              </w:rPr>
              <w:t xml:space="preserve"> </w:t>
            </w:r>
          </w:p>
          <w:p w14:paraId="54C935EE" w14:textId="77777777" w:rsidR="00F50D3A" w:rsidRDefault="00395364">
            <w:pPr>
              <w:spacing w:after="0" w:line="259" w:lineRule="auto"/>
              <w:ind w:left="1" w:firstLine="0"/>
            </w:pPr>
            <w:r>
              <w:rPr>
                <w:b/>
              </w:rPr>
              <w:t xml:space="preserve">Further details of these fees can be found on Schedule 7 of the IFA. </w:t>
            </w:r>
          </w:p>
        </w:tc>
      </w:tr>
      <w:tr w:rsidR="00F50D3A" w14:paraId="6A0C47E9" w14:textId="77777777">
        <w:trPr>
          <w:trHeight w:val="2155"/>
        </w:trPr>
        <w:tc>
          <w:tcPr>
            <w:tcW w:w="4506" w:type="dxa"/>
            <w:tcBorders>
              <w:top w:val="single" w:sz="12" w:space="0" w:color="82D1F1"/>
              <w:left w:val="single" w:sz="4" w:space="0" w:color="82D1F1"/>
              <w:bottom w:val="single" w:sz="4" w:space="0" w:color="82D1F1"/>
              <w:right w:val="single" w:sz="4" w:space="0" w:color="82D1F1"/>
            </w:tcBorders>
            <w:shd w:val="clear" w:color="auto" w:fill="D5EFFA"/>
          </w:tcPr>
          <w:p w14:paraId="5C823D92" w14:textId="77777777" w:rsidR="00F50D3A" w:rsidRDefault="00395364">
            <w:pPr>
              <w:spacing w:after="0" w:line="259" w:lineRule="auto"/>
              <w:ind w:left="0" w:firstLine="0"/>
            </w:pPr>
            <w:r>
              <w:rPr>
                <w:b/>
              </w:rPr>
              <w:t xml:space="preserve">Bank Guarantees or equivalents </w:t>
            </w:r>
          </w:p>
        </w:tc>
        <w:tc>
          <w:tcPr>
            <w:tcW w:w="4508" w:type="dxa"/>
            <w:tcBorders>
              <w:top w:val="single" w:sz="12" w:space="0" w:color="82D1F1"/>
              <w:left w:val="single" w:sz="4" w:space="0" w:color="82D1F1"/>
              <w:bottom w:val="single" w:sz="4" w:space="0" w:color="82D1F1"/>
              <w:right w:val="single" w:sz="4" w:space="0" w:color="82D1F1"/>
            </w:tcBorders>
            <w:shd w:val="clear" w:color="auto" w:fill="D5EFFA"/>
          </w:tcPr>
          <w:p w14:paraId="0B80DF89" w14:textId="77777777" w:rsidR="00F50D3A" w:rsidRDefault="00395364">
            <w:pPr>
              <w:spacing w:after="0" w:line="259" w:lineRule="auto"/>
              <w:ind w:left="1" w:firstLine="0"/>
            </w:pPr>
            <w:r>
              <w:t xml:space="preserve">No bank guarantee is currently required but such arrangements may be required by the TC. A TSP shall be compliant with Schedule 3 of the IFA which sets out a number of conditions that are to be fulfilled in order to become a signatory to the IFA. Other requirements may be agreed bilaterally and documented in the TCAs. </w:t>
            </w:r>
          </w:p>
        </w:tc>
      </w:tr>
      <w:tr w:rsidR="00F50D3A" w14:paraId="2E4E640B" w14:textId="77777777">
        <w:trPr>
          <w:trHeight w:val="3305"/>
        </w:trPr>
        <w:tc>
          <w:tcPr>
            <w:tcW w:w="4506" w:type="dxa"/>
            <w:tcBorders>
              <w:top w:val="single" w:sz="4" w:space="0" w:color="82D1F1"/>
              <w:left w:val="single" w:sz="4" w:space="0" w:color="82D1F1"/>
              <w:bottom w:val="single" w:sz="4" w:space="0" w:color="82D1F1"/>
              <w:right w:val="single" w:sz="4" w:space="0" w:color="82D1F1"/>
            </w:tcBorders>
          </w:tcPr>
          <w:p w14:paraId="742F97DF" w14:textId="77777777" w:rsidR="00F50D3A" w:rsidRDefault="00395364">
            <w:pPr>
              <w:spacing w:after="0" w:line="259" w:lineRule="auto"/>
              <w:ind w:left="0" w:firstLine="0"/>
            </w:pPr>
            <w:r>
              <w:rPr>
                <w:b/>
              </w:rPr>
              <w:lastRenderedPageBreak/>
              <w:t xml:space="preserve">Information on a particular User </w:t>
            </w:r>
          </w:p>
        </w:tc>
        <w:tc>
          <w:tcPr>
            <w:tcW w:w="4508" w:type="dxa"/>
            <w:tcBorders>
              <w:top w:val="single" w:sz="4" w:space="0" w:color="82D1F1"/>
              <w:left w:val="single" w:sz="4" w:space="0" w:color="82D1F1"/>
              <w:bottom w:val="single" w:sz="4" w:space="0" w:color="82D1F1"/>
              <w:right w:val="single" w:sz="4" w:space="0" w:color="82D1F1"/>
            </w:tcBorders>
          </w:tcPr>
          <w:p w14:paraId="60E24B3C" w14:textId="77777777" w:rsidR="00F50D3A" w:rsidRDefault="00395364">
            <w:pPr>
              <w:spacing w:after="0" w:line="236" w:lineRule="auto"/>
              <w:ind w:left="1" w:firstLine="0"/>
            </w:pPr>
            <w:r>
              <w:t xml:space="preserve">The TSP is required to provide both ETC White and Black Lists of its Service User base; these lists (and specifically the white list) have to be complete as opposed to partial, meaning that they have to list each and every single tag and the related information.  </w:t>
            </w:r>
          </w:p>
          <w:p w14:paraId="646D1523" w14:textId="77777777" w:rsidR="00F50D3A" w:rsidRDefault="00395364">
            <w:pPr>
              <w:spacing w:after="0" w:line="259" w:lineRule="auto"/>
              <w:ind w:left="1" w:firstLine="0"/>
            </w:pPr>
            <w:r>
              <w:t xml:space="preserve"> </w:t>
            </w:r>
          </w:p>
          <w:p w14:paraId="47D0BF79" w14:textId="77777777" w:rsidR="00F50D3A" w:rsidRDefault="00395364">
            <w:pPr>
              <w:spacing w:after="0" w:line="259" w:lineRule="auto"/>
              <w:ind w:left="1" w:firstLine="0"/>
            </w:pPr>
            <w:r>
              <w:t xml:space="preserve">The mandatory content, schedule and update frequency for both white and black list according to the Irish national interoperability scheme are detailed in the IFA. </w:t>
            </w:r>
          </w:p>
        </w:tc>
      </w:tr>
      <w:tr w:rsidR="00F50D3A" w14:paraId="0CE50750" w14:textId="77777777">
        <w:trPr>
          <w:trHeight w:val="2893"/>
        </w:trPr>
        <w:tc>
          <w:tcPr>
            <w:tcW w:w="4506" w:type="dxa"/>
            <w:tcBorders>
              <w:top w:val="single" w:sz="4" w:space="0" w:color="82D1F1"/>
              <w:left w:val="single" w:sz="4" w:space="0" w:color="82D1F1"/>
              <w:bottom w:val="single" w:sz="4" w:space="0" w:color="82D1F1"/>
              <w:right w:val="single" w:sz="4" w:space="0" w:color="82D1F1"/>
            </w:tcBorders>
            <w:shd w:val="clear" w:color="auto" w:fill="D5EFFA"/>
          </w:tcPr>
          <w:p w14:paraId="1060C0BB" w14:textId="77777777" w:rsidR="00F50D3A" w:rsidRDefault="00395364">
            <w:pPr>
              <w:spacing w:after="0" w:line="259" w:lineRule="auto"/>
              <w:ind w:left="0" w:firstLine="0"/>
            </w:pPr>
            <w:r>
              <w:rPr>
                <w:b/>
              </w:rPr>
              <w:t xml:space="preserve">Authorisation parameters </w:t>
            </w:r>
          </w:p>
        </w:tc>
        <w:tc>
          <w:tcPr>
            <w:tcW w:w="4508" w:type="dxa"/>
            <w:tcBorders>
              <w:top w:val="single" w:sz="4" w:space="0" w:color="82D1F1"/>
              <w:left w:val="single" w:sz="4" w:space="0" w:color="82D1F1"/>
              <w:bottom w:val="single" w:sz="4" w:space="0" w:color="82D1F1"/>
              <w:right w:val="single" w:sz="4" w:space="0" w:color="82D1F1"/>
            </w:tcBorders>
            <w:shd w:val="clear" w:color="auto" w:fill="D5EFFA"/>
          </w:tcPr>
          <w:p w14:paraId="6ACE8B64" w14:textId="77777777" w:rsidR="00F50D3A" w:rsidRDefault="00395364">
            <w:pPr>
              <w:spacing w:after="0" w:line="259" w:lineRule="auto"/>
              <w:ind w:left="1" w:firstLine="0"/>
            </w:pPr>
            <w:r>
              <w:t xml:space="preserve">OBUs and RSE must be encoded with </w:t>
            </w:r>
          </w:p>
          <w:p w14:paraId="25EEAB3A" w14:textId="1E521E7F" w:rsidR="00F50D3A" w:rsidRDefault="00395364" w:rsidP="00E12496">
            <w:pPr>
              <w:spacing w:after="0" w:line="259" w:lineRule="auto"/>
              <w:ind w:left="1" w:firstLine="0"/>
            </w:pPr>
            <w:r>
              <w:t xml:space="preserve">authentication and access keys provided by the IMSP in order for the OBU to be processed </w:t>
            </w:r>
          </w:p>
          <w:p w14:paraId="502B930E" w14:textId="4F68C1FB" w:rsidR="00F50D3A" w:rsidRDefault="00F50D3A">
            <w:pPr>
              <w:spacing w:after="0" w:line="259" w:lineRule="auto"/>
              <w:ind w:left="1" w:firstLine="0"/>
            </w:pPr>
          </w:p>
          <w:p w14:paraId="32B568C3" w14:textId="77777777" w:rsidR="00F50D3A" w:rsidRDefault="00395364">
            <w:pPr>
              <w:spacing w:after="0" w:line="236" w:lineRule="auto"/>
              <w:ind w:left="1" w:firstLine="0"/>
            </w:pPr>
            <w:r>
              <w:t xml:space="preserve">OBU holders will only be permitted to carry out an ETC transaction if they are on the TC’s Valid User List and not on the Consolidated ETC Black List. Typically, the Consolidated ETC White List functions as a proxy for the Valid Issuer List.  </w:t>
            </w:r>
          </w:p>
          <w:p w14:paraId="7480D129" w14:textId="77777777" w:rsidR="00F50D3A" w:rsidRDefault="00395364">
            <w:pPr>
              <w:spacing w:after="0" w:line="259" w:lineRule="auto"/>
              <w:ind w:left="1" w:firstLine="0"/>
            </w:pPr>
            <w:r>
              <w:t xml:space="preserve"> </w:t>
            </w:r>
          </w:p>
        </w:tc>
      </w:tr>
      <w:tr w:rsidR="00F50D3A" w14:paraId="36BE6AC8" w14:textId="77777777">
        <w:trPr>
          <w:trHeight w:val="1279"/>
        </w:trPr>
        <w:tc>
          <w:tcPr>
            <w:tcW w:w="4506" w:type="dxa"/>
            <w:tcBorders>
              <w:top w:val="single" w:sz="4" w:space="0" w:color="82D1F1"/>
              <w:left w:val="single" w:sz="4" w:space="0" w:color="82D1F1"/>
              <w:bottom w:val="single" w:sz="4" w:space="0" w:color="82D1F1"/>
              <w:right w:val="single" w:sz="4" w:space="0" w:color="82D1F1"/>
            </w:tcBorders>
            <w:shd w:val="clear" w:color="auto" w:fill="D5EFFA"/>
          </w:tcPr>
          <w:p w14:paraId="49562D74" w14:textId="77777777" w:rsidR="00F50D3A" w:rsidRDefault="00F50D3A">
            <w:pPr>
              <w:spacing w:after="160" w:line="259" w:lineRule="auto"/>
              <w:ind w:left="0" w:firstLine="0"/>
            </w:pPr>
          </w:p>
        </w:tc>
        <w:tc>
          <w:tcPr>
            <w:tcW w:w="4508" w:type="dxa"/>
            <w:tcBorders>
              <w:top w:val="single" w:sz="4" w:space="0" w:color="82D1F1"/>
              <w:left w:val="single" w:sz="4" w:space="0" w:color="82D1F1"/>
              <w:bottom w:val="single" w:sz="4" w:space="0" w:color="82D1F1"/>
              <w:right w:val="single" w:sz="4" w:space="0" w:color="82D1F1"/>
            </w:tcBorders>
            <w:shd w:val="clear" w:color="auto" w:fill="D5EFFA"/>
          </w:tcPr>
          <w:p w14:paraId="0A1A871F" w14:textId="77777777" w:rsidR="00F50D3A" w:rsidRDefault="00395364">
            <w:pPr>
              <w:spacing w:after="0" w:line="259" w:lineRule="auto"/>
              <w:ind w:left="1" w:right="2" w:firstLine="0"/>
            </w:pPr>
            <w:r>
              <w:t xml:space="preserve">The IMSP manage each TC’s Valid Issuer List. User information of TSPs which do not appear as “Valid” on the TC’s Valid Issuer List will be excluded from the White List distributed to the TC. </w:t>
            </w:r>
          </w:p>
        </w:tc>
      </w:tr>
      <w:tr w:rsidR="00F50D3A" w14:paraId="39E56800" w14:textId="77777777">
        <w:trPr>
          <w:trHeight w:val="3019"/>
        </w:trPr>
        <w:tc>
          <w:tcPr>
            <w:tcW w:w="4506" w:type="dxa"/>
            <w:tcBorders>
              <w:top w:val="single" w:sz="4" w:space="0" w:color="82D1F1"/>
              <w:left w:val="single" w:sz="4" w:space="0" w:color="82D1F1"/>
              <w:bottom w:val="single" w:sz="4" w:space="0" w:color="82D1F1"/>
              <w:right w:val="single" w:sz="4" w:space="0" w:color="82D1F1"/>
            </w:tcBorders>
          </w:tcPr>
          <w:p w14:paraId="42134F2D" w14:textId="77777777" w:rsidR="00F50D3A" w:rsidRDefault="00395364">
            <w:pPr>
              <w:spacing w:after="0" w:line="259" w:lineRule="auto"/>
              <w:ind w:left="0" w:firstLine="0"/>
            </w:pPr>
            <w:r>
              <w:rPr>
                <w:b/>
              </w:rPr>
              <w:t xml:space="preserve">Charging obligation </w:t>
            </w:r>
          </w:p>
        </w:tc>
        <w:tc>
          <w:tcPr>
            <w:tcW w:w="4508" w:type="dxa"/>
            <w:tcBorders>
              <w:top w:val="single" w:sz="4" w:space="0" w:color="82D1F1"/>
              <w:left w:val="single" w:sz="4" w:space="0" w:color="82D1F1"/>
              <w:bottom w:val="single" w:sz="4" w:space="0" w:color="82D1F1"/>
              <w:right w:val="single" w:sz="4" w:space="0" w:color="82D1F1"/>
            </w:tcBorders>
          </w:tcPr>
          <w:p w14:paraId="79D146FD" w14:textId="77777777" w:rsidR="00F50D3A" w:rsidRDefault="00395364">
            <w:pPr>
              <w:spacing w:after="0" w:line="236" w:lineRule="auto"/>
              <w:ind w:left="1" w:firstLine="0"/>
            </w:pPr>
            <w:r>
              <w:t xml:space="preserve">The TSP is obliged to pay the TC for a valid ETC transaction relating to one of its Service User’s irrespective of the TSP’s ability to recover the toll from the Service user.  </w:t>
            </w:r>
          </w:p>
          <w:p w14:paraId="6C9D4959" w14:textId="77777777" w:rsidR="00F50D3A" w:rsidRDefault="00395364">
            <w:pPr>
              <w:spacing w:after="0" w:line="259" w:lineRule="auto"/>
              <w:ind w:left="1" w:firstLine="0"/>
            </w:pPr>
            <w:r>
              <w:t xml:space="preserve"> </w:t>
            </w:r>
          </w:p>
          <w:p w14:paraId="6913DBD5" w14:textId="77777777" w:rsidR="00F50D3A" w:rsidRDefault="00395364">
            <w:pPr>
              <w:spacing w:after="0" w:line="259" w:lineRule="auto"/>
              <w:ind w:left="1" w:firstLine="0"/>
            </w:pPr>
            <w:r>
              <w:t xml:space="preserve">The OBU must be so positioned to be read by the beacons located over the lane. If the OBU does not respond or partially transmits transponder data, the Service User will be charged using ANPR data captured matched against the NVDF. </w:t>
            </w:r>
          </w:p>
        </w:tc>
      </w:tr>
      <w:tr w:rsidR="00F50D3A" w14:paraId="7623EA7D" w14:textId="77777777">
        <w:trPr>
          <w:trHeight w:val="3588"/>
        </w:trPr>
        <w:tc>
          <w:tcPr>
            <w:tcW w:w="4506" w:type="dxa"/>
            <w:tcBorders>
              <w:top w:val="single" w:sz="4" w:space="0" w:color="82D1F1"/>
              <w:left w:val="single" w:sz="4" w:space="0" w:color="82D1F1"/>
              <w:bottom w:val="single" w:sz="4" w:space="0" w:color="82D1F1"/>
              <w:right w:val="single" w:sz="4" w:space="0" w:color="82D1F1"/>
            </w:tcBorders>
            <w:shd w:val="clear" w:color="auto" w:fill="D5EFFA"/>
          </w:tcPr>
          <w:p w14:paraId="30D397E0" w14:textId="77777777" w:rsidR="00F50D3A" w:rsidRDefault="00395364">
            <w:pPr>
              <w:spacing w:after="0" w:line="259" w:lineRule="auto"/>
              <w:ind w:left="0" w:firstLine="0"/>
            </w:pPr>
            <w:r>
              <w:rPr>
                <w:b/>
              </w:rPr>
              <w:lastRenderedPageBreak/>
              <w:t xml:space="preserve">Permanent change in classification </w:t>
            </w:r>
          </w:p>
          <w:p w14:paraId="407637FA" w14:textId="77777777" w:rsidR="00F50D3A" w:rsidRDefault="00395364">
            <w:pPr>
              <w:spacing w:after="0" w:line="259" w:lineRule="auto"/>
              <w:ind w:left="0" w:firstLine="0"/>
            </w:pPr>
            <w:r>
              <w:rPr>
                <w:b/>
              </w:rPr>
              <w:t xml:space="preserve"> </w:t>
            </w:r>
          </w:p>
        </w:tc>
        <w:tc>
          <w:tcPr>
            <w:tcW w:w="4508" w:type="dxa"/>
            <w:tcBorders>
              <w:top w:val="single" w:sz="4" w:space="0" w:color="82D1F1"/>
              <w:left w:val="single" w:sz="4" w:space="0" w:color="82D1F1"/>
              <w:bottom w:val="single" w:sz="4" w:space="0" w:color="82D1F1"/>
              <w:right w:val="single" w:sz="4" w:space="0" w:color="82D1F1"/>
            </w:tcBorders>
            <w:shd w:val="clear" w:color="auto" w:fill="D5EFFA"/>
          </w:tcPr>
          <w:p w14:paraId="124E563A" w14:textId="77777777" w:rsidR="00F50D3A" w:rsidRDefault="00395364">
            <w:pPr>
              <w:spacing w:after="0" w:line="236" w:lineRule="auto"/>
              <w:ind w:left="1" w:firstLine="0"/>
            </w:pPr>
            <w:r>
              <w:t xml:space="preserve">Classification will be determined using list data supplied by the TSP. It is the responsibility of the TSP to ensure that the classification data for both the Licence Plate Number and associated OBU is correct.  </w:t>
            </w:r>
          </w:p>
          <w:p w14:paraId="624EB1D4" w14:textId="77777777" w:rsidR="00F50D3A" w:rsidRDefault="00395364">
            <w:pPr>
              <w:spacing w:after="0" w:line="259" w:lineRule="auto"/>
              <w:ind w:left="1" w:firstLine="0"/>
            </w:pPr>
            <w:r>
              <w:t xml:space="preserve"> </w:t>
            </w:r>
          </w:p>
          <w:p w14:paraId="00090C27" w14:textId="77777777" w:rsidR="00F50D3A" w:rsidRDefault="00395364">
            <w:pPr>
              <w:spacing w:after="0" w:line="259" w:lineRule="auto"/>
              <w:ind w:left="1" w:right="1" w:firstLine="0"/>
            </w:pPr>
            <w:r>
              <w:t xml:space="preserve">Upon receipt of a new list, as per the schedule outlined in section 1.3 – Technical requirements of this Domain Statement, classification is deemed as permanent until expiry of that list (lists are updated against schedule defined in Table 1 of the IFA). </w:t>
            </w:r>
          </w:p>
        </w:tc>
      </w:tr>
      <w:tr w:rsidR="00F50D3A" w14:paraId="0373E350" w14:textId="77777777">
        <w:trPr>
          <w:trHeight w:val="726"/>
        </w:trPr>
        <w:tc>
          <w:tcPr>
            <w:tcW w:w="4506" w:type="dxa"/>
            <w:tcBorders>
              <w:top w:val="single" w:sz="4" w:space="0" w:color="82D1F1"/>
              <w:left w:val="single" w:sz="4" w:space="0" w:color="82D1F1"/>
              <w:bottom w:val="single" w:sz="4" w:space="0" w:color="82D1F1"/>
              <w:right w:val="single" w:sz="4" w:space="0" w:color="82D1F1"/>
            </w:tcBorders>
            <w:vAlign w:val="bottom"/>
          </w:tcPr>
          <w:p w14:paraId="5AE7B1B3" w14:textId="77777777" w:rsidR="00F50D3A" w:rsidRDefault="00395364">
            <w:pPr>
              <w:spacing w:after="0" w:line="259" w:lineRule="auto"/>
              <w:ind w:left="0" w:firstLine="0"/>
            </w:pPr>
            <w:r>
              <w:rPr>
                <w:b/>
              </w:rPr>
              <w:t xml:space="preserve">Temporary change in classification </w:t>
            </w:r>
          </w:p>
          <w:p w14:paraId="0599040F" w14:textId="77777777" w:rsidR="00F50D3A" w:rsidRDefault="00395364">
            <w:pPr>
              <w:spacing w:after="0" w:line="259" w:lineRule="auto"/>
              <w:ind w:left="0" w:firstLine="0"/>
            </w:pPr>
            <w:r>
              <w:rPr>
                <w:b/>
              </w:rPr>
              <w:t xml:space="preserve"> </w:t>
            </w:r>
          </w:p>
        </w:tc>
        <w:tc>
          <w:tcPr>
            <w:tcW w:w="4508" w:type="dxa"/>
            <w:tcBorders>
              <w:top w:val="single" w:sz="4" w:space="0" w:color="82D1F1"/>
              <w:left w:val="single" w:sz="4" w:space="0" w:color="82D1F1"/>
              <w:bottom w:val="single" w:sz="4" w:space="0" w:color="82D1F1"/>
              <w:right w:val="single" w:sz="4" w:space="0" w:color="82D1F1"/>
            </w:tcBorders>
          </w:tcPr>
          <w:p w14:paraId="5A3D79BB" w14:textId="77777777" w:rsidR="00F50D3A" w:rsidRDefault="00395364">
            <w:pPr>
              <w:spacing w:after="0" w:line="259" w:lineRule="auto"/>
              <w:ind w:left="1" w:firstLine="0"/>
            </w:pPr>
            <w:r>
              <w:t xml:space="preserve">There is no process in place to acknowledge a temporary change in classification details </w:t>
            </w:r>
          </w:p>
        </w:tc>
      </w:tr>
    </w:tbl>
    <w:p w14:paraId="0FE42884" w14:textId="77777777" w:rsidR="00F50D3A" w:rsidRDefault="00395364">
      <w:pPr>
        <w:spacing w:after="144" w:line="259" w:lineRule="auto"/>
        <w:ind w:left="0" w:firstLine="0"/>
      </w:pPr>
      <w:r>
        <w:t xml:space="preserve"> </w:t>
      </w:r>
    </w:p>
    <w:p w14:paraId="3EF30920" w14:textId="77777777" w:rsidR="00F50D3A" w:rsidRDefault="00395364">
      <w:pPr>
        <w:pStyle w:val="Heading2"/>
        <w:ind w:left="-5"/>
      </w:pPr>
      <w:r>
        <w:t xml:space="preserve">3.2 Requirements to be met by TSPs  </w:t>
      </w:r>
    </w:p>
    <w:p w14:paraId="0CB1DACF" w14:textId="77777777" w:rsidR="00F50D3A" w:rsidRDefault="00395364">
      <w:pPr>
        <w:spacing w:after="0" w:line="259" w:lineRule="auto"/>
        <w:ind w:left="0" w:firstLine="0"/>
      </w:pPr>
      <w:r>
        <w:t xml:space="preserve"> </w:t>
      </w:r>
    </w:p>
    <w:tbl>
      <w:tblPr>
        <w:tblStyle w:val="TableGrid"/>
        <w:tblW w:w="9014" w:type="dxa"/>
        <w:tblInd w:w="6" w:type="dxa"/>
        <w:tblCellMar>
          <w:top w:w="4" w:type="dxa"/>
          <w:left w:w="107" w:type="dxa"/>
          <w:right w:w="115" w:type="dxa"/>
        </w:tblCellMar>
        <w:tblLook w:val="04A0" w:firstRow="1" w:lastRow="0" w:firstColumn="1" w:lastColumn="0" w:noHBand="0" w:noVBand="1"/>
      </w:tblPr>
      <w:tblGrid>
        <w:gridCol w:w="4506"/>
        <w:gridCol w:w="4508"/>
      </w:tblGrid>
      <w:tr w:rsidR="00F50D3A" w14:paraId="3EA6C9BA" w14:textId="77777777">
        <w:trPr>
          <w:trHeight w:val="827"/>
        </w:trPr>
        <w:tc>
          <w:tcPr>
            <w:tcW w:w="4506" w:type="dxa"/>
            <w:tcBorders>
              <w:top w:val="single" w:sz="4" w:space="0" w:color="82D1F1"/>
              <w:left w:val="single" w:sz="4" w:space="0" w:color="82D1F1"/>
              <w:bottom w:val="single" w:sz="12" w:space="0" w:color="82D1F1"/>
              <w:right w:val="single" w:sz="4" w:space="0" w:color="82D1F1"/>
            </w:tcBorders>
          </w:tcPr>
          <w:p w14:paraId="1E23E3EF" w14:textId="77777777" w:rsidR="00F50D3A" w:rsidRDefault="00395364">
            <w:pPr>
              <w:spacing w:after="0" w:line="259" w:lineRule="auto"/>
              <w:ind w:left="0" w:firstLine="0"/>
            </w:pPr>
            <w:r>
              <w:rPr>
                <w:color w:val="2FB4E9"/>
                <w:sz w:val="28"/>
              </w:rPr>
              <w:t xml:space="preserve">Section </w:t>
            </w:r>
          </w:p>
          <w:p w14:paraId="61EC0C28" w14:textId="77777777" w:rsidR="00F50D3A" w:rsidRDefault="00395364">
            <w:pPr>
              <w:spacing w:after="0" w:line="259" w:lineRule="auto"/>
              <w:ind w:left="0" w:firstLine="0"/>
            </w:pPr>
            <w:r>
              <w:rPr>
                <w:color w:val="2FB4E9"/>
                <w:sz w:val="28"/>
              </w:rPr>
              <w:t xml:space="preserve"> </w:t>
            </w:r>
          </w:p>
        </w:tc>
        <w:tc>
          <w:tcPr>
            <w:tcW w:w="4508" w:type="dxa"/>
            <w:tcBorders>
              <w:top w:val="single" w:sz="4" w:space="0" w:color="82D1F1"/>
              <w:left w:val="single" w:sz="4" w:space="0" w:color="82D1F1"/>
              <w:bottom w:val="single" w:sz="12" w:space="0" w:color="82D1F1"/>
              <w:right w:val="single" w:sz="4" w:space="0" w:color="82D1F1"/>
            </w:tcBorders>
          </w:tcPr>
          <w:p w14:paraId="379B4D8C" w14:textId="77777777" w:rsidR="00F50D3A" w:rsidRDefault="00395364">
            <w:pPr>
              <w:spacing w:after="0" w:line="259" w:lineRule="auto"/>
              <w:ind w:left="1" w:firstLine="0"/>
            </w:pPr>
            <w:r>
              <w:rPr>
                <w:b/>
                <w:color w:val="2FB4E9"/>
                <w:sz w:val="28"/>
              </w:rPr>
              <w:t xml:space="preserve">Notes </w:t>
            </w:r>
          </w:p>
          <w:p w14:paraId="5BFAC6BB" w14:textId="77777777" w:rsidR="00F50D3A" w:rsidRDefault="00395364">
            <w:pPr>
              <w:spacing w:after="0" w:line="259" w:lineRule="auto"/>
              <w:ind w:left="1" w:firstLine="0"/>
            </w:pPr>
            <w:r>
              <w:rPr>
                <w:color w:val="2FB4E9"/>
                <w:sz w:val="28"/>
              </w:rPr>
              <w:t xml:space="preserve"> </w:t>
            </w:r>
          </w:p>
        </w:tc>
      </w:tr>
      <w:tr w:rsidR="00F50D3A" w14:paraId="39E7C05D" w14:textId="77777777">
        <w:trPr>
          <w:trHeight w:val="1925"/>
        </w:trPr>
        <w:tc>
          <w:tcPr>
            <w:tcW w:w="4506" w:type="dxa"/>
            <w:tcBorders>
              <w:top w:val="single" w:sz="12" w:space="0" w:color="82D1F1"/>
              <w:left w:val="single" w:sz="4" w:space="0" w:color="82D1F1"/>
              <w:bottom w:val="single" w:sz="4" w:space="0" w:color="82D1F1"/>
              <w:right w:val="single" w:sz="4" w:space="0" w:color="82D1F1"/>
            </w:tcBorders>
            <w:shd w:val="clear" w:color="auto" w:fill="D5EFFA"/>
          </w:tcPr>
          <w:p w14:paraId="1F95BD96" w14:textId="77777777" w:rsidR="00F50D3A" w:rsidRDefault="00395364">
            <w:pPr>
              <w:spacing w:after="0" w:line="259" w:lineRule="auto"/>
              <w:ind w:left="0" w:firstLine="0"/>
            </w:pPr>
            <w:r>
              <w:rPr>
                <w:b/>
              </w:rPr>
              <w:t xml:space="preserve">Tag list(s) </w:t>
            </w:r>
          </w:p>
        </w:tc>
        <w:tc>
          <w:tcPr>
            <w:tcW w:w="4508" w:type="dxa"/>
            <w:tcBorders>
              <w:top w:val="single" w:sz="12" w:space="0" w:color="82D1F1"/>
              <w:left w:val="single" w:sz="4" w:space="0" w:color="82D1F1"/>
              <w:bottom w:val="single" w:sz="4" w:space="0" w:color="82D1F1"/>
              <w:right w:val="single" w:sz="4" w:space="0" w:color="82D1F1"/>
            </w:tcBorders>
            <w:shd w:val="clear" w:color="auto" w:fill="D5EFFA"/>
          </w:tcPr>
          <w:p w14:paraId="4E96F53D" w14:textId="77777777" w:rsidR="00F50D3A" w:rsidRDefault="00395364">
            <w:pPr>
              <w:spacing w:after="50" w:line="236" w:lineRule="auto"/>
              <w:ind w:left="1" w:firstLine="0"/>
            </w:pPr>
            <w:r>
              <w:t xml:space="preserve">The mandatory content, schedule and update frequency for both the ETC White and Black List according to the Irish national interoperability scheme are detailed in the section 2.1.4. </w:t>
            </w:r>
          </w:p>
          <w:p w14:paraId="104B0585" w14:textId="77777777" w:rsidR="00F50D3A" w:rsidRDefault="00395364">
            <w:pPr>
              <w:spacing w:after="0" w:line="259" w:lineRule="auto"/>
              <w:ind w:left="1" w:firstLine="0"/>
            </w:pPr>
            <w:r>
              <w:rPr>
                <w:b/>
                <w:sz w:val="28"/>
              </w:rPr>
              <w:t xml:space="preserve"> </w:t>
            </w:r>
          </w:p>
          <w:p w14:paraId="291F896C" w14:textId="77777777" w:rsidR="00F50D3A" w:rsidRDefault="00395364">
            <w:pPr>
              <w:spacing w:after="0" w:line="259" w:lineRule="auto"/>
              <w:ind w:left="1" w:firstLine="0"/>
            </w:pPr>
            <w:r>
              <w:t xml:space="preserve">Further details are available in the IFA </w:t>
            </w:r>
          </w:p>
        </w:tc>
      </w:tr>
      <w:tr w:rsidR="00F50D3A" w14:paraId="01633CB0" w14:textId="77777777" w:rsidTr="00E12496">
        <w:trPr>
          <w:trHeight w:val="46"/>
        </w:trPr>
        <w:tc>
          <w:tcPr>
            <w:tcW w:w="4506" w:type="dxa"/>
            <w:tcBorders>
              <w:top w:val="single" w:sz="4" w:space="0" w:color="82D1F1"/>
              <w:left w:val="single" w:sz="4" w:space="0" w:color="82D1F1"/>
              <w:bottom w:val="single" w:sz="4" w:space="0" w:color="82D1F1"/>
              <w:right w:val="single" w:sz="4" w:space="0" w:color="82D1F1"/>
            </w:tcBorders>
            <w:vAlign w:val="bottom"/>
          </w:tcPr>
          <w:p w14:paraId="0ACB783F" w14:textId="77777777" w:rsidR="00F50D3A" w:rsidRDefault="00395364">
            <w:pPr>
              <w:spacing w:after="0" w:line="259" w:lineRule="auto"/>
              <w:ind w:left="0" w:firstLine="0"/>
            </w:pPr>
            <w:r>
              <w:rPr>
                <w:b/>
              </w:rPr>
              <w:t xml:space="preserve">Charge Exceptions </w:t>
            </w:r>
          </w:p>
          <w:p w14:paraId="3AD0AECD" w14:textId="77777777" w:rsidR="00F50D3A" w:rsidRDefault="00395364">
            <w:pPr>
              <w:spacing w:after="0" w:line="259" w:lineRule="auto"/>
              <w:ind w:left="0" w:firstLine="0"/>
            </w:pPr>
            <w:r>
              <w:rPr>
                <w:b/>
              </w:rPr>
              <w:t xml:space="preserve"> </w:t>
            </w:r>
          </w:p>
        </w:tc>
        <w:tc>
          <w:tcPr>
            <w:tcW w:w="4508" w:type="dxa"/>
            <w:tcBorders>
              <w:top w:val="single" w:sz="4" w:space="0" w:color="82D1F1"/>
              <w:left w:val="single" w:sz="4" w:space="0" w:color="82D1F1"/>
              <w:bottom w:val="single" w:sz="4" w:space="0" w:color="82D1F1"/>
              <w:right w:val="single" w:sz="4" w:space="0" w:color="82D1F1"/>
            </w:tcBorders>
          </w:tcPr>
          <w:p w14:paraId="72CEC4DD" w14:textId="77777777" w:rsidR="00F50D3A" w:rsidRDefault="00395364">
            <w:pPr>
              <w:spacing w:after="0" w:line="259" w:lineRule="auto"/>
              <w:ind w:left="1" w:firstLine="0"/>
            </w:pPr>
            <w:r>
              <w:t xml:space="preserve">In the event that there is a problem in reading the OBU in the lane then the system will capture the </w:t>
            </w:r>
          </w:p>
        </w:tc>
      </w:tr>
      <w:tr w:rsidR="00F50D3A" w14:paraId="0459AB80" w14:textId="77777777">
        <w:trPr>
          <w:trHeight w:val="3360"/>
        </w:trPr>
        <w:tc>
          <w:tcPr>
            <w:tcW w:w="4506" w:type="dxa"/>
            <w:tcBorders>
              <w:top w:val="single" w:sz="4" w:space="0" w:color="82D1F1"/>
              <w:left w:val="single" w:sz="4" w:space="0" w:color="82D1F1"/>
              <w:bottom w:val="single" w:sz="4" w:space="0" w:color="82D1F1"/>
              <w:right w:val="single" w:sz="4" w:space="0" w:color="82D1F1"/>
            </w:tcBorders>
          </w:tcPr>
          <w:p w14:paraId="571BDCB7" w14:textId="77777777" w:rsidR="00F50D3A" w:rsidRDefault="00F50D3A">
            <w:pPr>
              <w:spacing w:after="160" w:line="259" w:lineRule="auto"/>
              <w:ind w:left="0" w:firstLine="0"/>
            </w:pPr>
          </w:p>
        </w:tc>
        <w:tc>
          <w:tcPr>
            <w:tcW w:w="4508" w:type="dxa"/>
            <w:tcBorders>
              <w:top w:val="single" w:sz="4" w:space="0" w:color="82D1F1"/>
              <w:left w:val="single" w:sz="4" w:space="0" w:color="82D1F1"/>
              <w:bottom w:val="single" w:sz="4" w:space="0" w:color="82D1F1"/>
              <w:right w:val="single" w:sz="4" w:space="0" w:color="82D1F1"/>
            </w:tcBorders>
          </w:tcPr>
          <w:p w14:paraId="62EF3BD6" w14:textId="29C887A2" w:rsidR="00F50D3A" w:rsidRDefault="00E12496">
            <w:pPr>
              <w:spacing w:after="0" w:line="236" w:lineRule="auto"/>
              <w:ind w:left="0" w:firstLine="0"/>
            </w:pPr>
            <w:r>
              <w:t>v</w:t>
            </w:r>
            <w:r w:rsidR="00395364">
              <w:t xml:space="preserve">ehicle LPN and compare this against the Consolidated ETC White List to identify an account. </w:t>
            </w:r>
          </w:p>
          <w:p w14:paraId="0ED76081" w14:textId="77777777" w:rsidR="00F50D3A" w:rsidRDefault="00395364">
            <w:pPr>
              <w:spacing w:after="0" w:line="259" w:lineRule="auto"/>
              <w:ind w:left="0" w:firstLine="0"/>
            </w:pPr>
            <w:r>
              <w:t xml:space="preserve"> </w:t>
            </w:r>
          </w:p>
          <w:p w14:paraId="779DED95" w14:textId="77777777" w:rsidR="00F50D3A" w:rsidRDefault="00395364">
            <w:pPr>
              <w:spacing w:after="50" w:line="237" w:lineRule="auto"/>
              <w:ind w:left="0" w:firstLine="0"/>
            </w:pPr>
            <w:r>
              <w:t xml:space="preserve">The associated transaction that is subsequently sent to the TSP for settlement purposes will be clearly flagged as being a ‘degrade mode’ transaction. </w:t>
            </w:r>
          </w:p>
          <w:p w14:paraId="00B05A3B" w14:textId="77777777" w:rsidR="00F50D3A" w:rsidRDefault="00395364">
            <w:pPr>
              <w:spacing w:after="0" w:line="259" w:lineRule="auto"/>
              <w:ind w:left="0" w:firstLine="0"/>
            </w:pPr>
            <w:r>
              <w:rPr>
                <w:b/>
                <w:sz w:val="28"/>
              </w:rPr>
              <w:t xml:space="preserve"> </w:t>
            </w:r>
          </w:p>
          <w:p w14:paraId="08822888" w14:textId="77777777" w:rsidR="00F50D3A" w:rsidRDefault="00395364">
            <w:pPr>
              <w:spacing w:after="0" w:line="259" w:lineRule="auto"/>
              <w:ind w:left="0" w:firstLine="0"/>
            </w:pPr>
            <w:r>
              <w:t xml:space="preserve">Further details relating to exceptions are contained in the IFA and TCA </w:t>
            </w:r>
          </w:p>
        </w:tc>
      </w:tr>
    </w:tbl>
    <w:p w14:paraId="7F14EE0E" w14:textId="77777777" w:rsidR="00F50D3A" w:rsidRDefault="00395364">
      <w:pPr>
        <w:spacing w:after="145" w:line="259" w:lineRule="auto"/>
        <w:ind w:left="0" w:firstLine="0"/>
      </w:pPr>
      <w:r>
        <w:t xml:space="preserve"> </w:t>
      </w:r>
    </w:p>
    <w:p w14:paraId="60FD7925" w14:textId="77777777" w:rsidR="00F50D3A" w:rsidRDefault="00395364">
      <w:pPr>
        <w:pStyle w:val="Heading1"/>
        <w:ind w:left="-5"/>
      </w:pPr>
      <w:r>
        <w:lastRenderedPageBreak/>
        <w:t>4.</w:t>
      </w:r>
      <w:r>
        <w:rPr>
          <w:rFonts w:ascii="Arial" w:eastAsia="Arial" w:hAnsi="Arial" w:cs="Arial"/>
        </w:rPr>
        <w:t xml:space="preserve"> </w:t>
      </w:r>
      <w:r>
        <w:t xml:space="preserve">PROCESS FOR A NEW TSP ENTERING THE IRISH TOLL MARKET </w:t>
      </w:r>
    </w:p>
    <w:p w14:paraId="771D71CE" w14:textId="77777777" w:rsidR="00F50D3A" w:rsidRDefault="00395364">
      <w:pPr>
        <w:ind w:left="-5"/>
      </w:pPr>
      <w:r>
        <w:t xml:space="preserve">The graphic below describes the process required for a new TSP (a “New Party”) to join the Irish toll market. Some steps may be undertaken concurrently but the New Party is required to ensure that its OBUs are acceptable to at least one of the TCs in order to enter into a TCA which is a pre-condition to the New Party acceding to the IFA. </w:t>
      </w:r>
    </w:p>
    <w:p w14:paraId="3FA3E538" w14:textId="77777777" w:rsidR="00F50D3A" w:rsidRDefault="00395364">
      <w:pPr>
        <w:spacing w:after="142" w:line="259" w:lineRule="auto"/>
        <w:ind w:left="0" w:firstLine="0"/>
      </w:pPr>
      <w:r>
        <w:t xml:space="preserve"> </w:t>
      </w:r>
    </w:p>
    <w:p w14:paraId="0D9D7914" w14:textId="77777777" w:rsidR="00F50D3A" w:rsidRDefault="00395364">
      <w:pPr>
        <w:pStyle w:val="Heading2"/>
        <w:spacing w:after="106"/>
        <w:ind w:left="-5"/>
      </w:pPr>
      <w:r>
        <w:t xml:space="preserve">4.1 Process </w:t>
      </w:r>
    </w:p>
    <w:p w14:paraId="6D3A9EAC" w14:textId="77777777" w:rsidR="00F50D3A" w:rsidRDefault="00395364">
      <w:pPr>
        <w:spacing w:after="26" w:line="259" w:lineRule="auto"/>
        <w:ind w:left="0" w:right="1256" w:firstLine="0"/>
        <w:jc w:val="right"/>
      </w:pPr>
      <w:r>
        <w:rPr>
          <w:noProof/>
        </w:rPr>
        <w:drawing>
          <wp:inline distT="0" distB="0" distL="0" distR="0" wp14:anchorId="32BCC030" wp14:editId="0E25CA75">
            <wp:extent cx="4048058" cy="3599180"/>
            <wp:effectExtent l="0" t="0" r="0" b="0"/>
            <wp:docPr id="2517" name="Picture 2517"/>
            <wp:cNvGraphicFramePr/>
            <a:graphic xmlns:a="http://schemas.openxmlformats.org/drawingml/2006/main">
              <a:graphicData uri="http://schemas.openxmlformats.org/drawingml/2006/picture">
                <pic:pic xmlns:pic="http://schemas.openxmlformats.org/drawingml/2006/picture">
                  <pic:nvPicPr>
                    <pic:cNvPr id="2517" name="Picture 2517"/>
                    <pic:cNvPicPr/>
                  </pic:nvPicPr>
                  <pic:blipFill>
                    <a:blip r:embed="rId9"/>
                    <a:stretch>
                      <a:fillRect/>
                    </a:stretch>
                  </pic:blipFill>
                  <pic:spPr>
                    <a:xfrm>
                      <a:off x="0" y="0"/>
                      <a:ext cx="4048058" cy="3599180"/>
                    </a:xfrm>
                    <a:prstGeom prst="rect">
                      <a:avLst/>
                    </a:prstGeom>
                  </pic:spPr>
                </pic:pic>
              </a:graphicData>
            </a:graphic>
          </wp:inline>
        </w:drawing>
      </w:r>
      <w:r>
        <w:rPr>
          <w:b/>
          <w:color w:val="004587"/>
          <w:sz w:val="28"/>
        </w:rPr>
        <w:t xml:space="preserve"> </w:t>
      </w:r>
    </w:p>
    <w:p w14:paraId="7CE62557" w14:textId="77777777" w:rsidR="00F50D3A" w:rsidRDefault="00395364">
      <w:pPr>
        <w:spacing w:after="95" w:line="259" w:lineRule="auto"/>
        <w:ind w:left="69" w:firstLine="0"/>
        <w:jc w:val="center"/>
      </w:pPr>
      <w:r>
        <w:rPr>
          <w:b/>
          <w:color w:val="004587"/>
          <w:sz w:val="28"/>
        </w:rPr>
        <w:t xml:space="preserve"> </w:t>
      </w:r>
    </w:p>
    <w:p w14:paraId="24337A5C" w14:textId="77777777" w:rsidR="00F50D3A" w:rsidRDefault="00395364">
      <w:pPr>
        <w:pStyle w:val="Heading2"/>
        <w:ind w:left="-5"/>
      </w:pPr>
      <w:r>
        <w:t xml:space="preserve">4.1 Process for joining the interoperability Framework Agreement (The IFA) </w:t>
      </w:r>
    </w:p>
    <w:p w14:paraId="65E9E9B8" w14:textId="77777777" w:rsidR="00F50D3A" w:rsidRDefault="00395364">
      <w:pPr>
        <w:spacing w:after="33" w:line="226" w:lineRule="auto"/>
        <w:ind w:left="705" w:hanging="720"/>
      </w:pPr>
      <w:r>
        <w:rPr>
          <w:color w:val="1A232A"/>
        </w:rPr>
        <w:t xml:space="preserve">4.1.1 </w:t>
      </w:r>
      <w:r>
        <w:rPr>
          <w:color w:val="1A232A"/>
        </w:rPr>
        <w:tab/>
        <w:t>A TSP who is not already a party to the IFA (a “New Party”) shall be entitled to avail of the   Services provided by the IMSP provided that the New Party: enters into a Deed of Adherence, in the form set out in Schedule 3 (</w:t>
      </w:r>
      <w:r>
        <w:rPr>
          <w:i/>
          <w:color w:val="1A232A"/>
        </w:rPr>
        <w:t>Deed of</w:t>
      </w:r>
      <w:r>
        <w:rPr>
          <w:color w:val="1A232A"/>
        </w:rPr>
        <w:t xml:space="preserve"> </w:t>
      </w:r>
      <w:r>
        <w:rPr>
          <w:i/>
          <w:color w:val="1A232A"/>
        </w:rPr>
        <w:t>Adherence</w:t>
      </w:r>
      <w:r>
        <w:rPr>
          <w:color w:val="1A232A"/>
        </w:rPr>
        <w:t>); and complies with the requirements set out in the Appendix to the Deed of Adherence.</w:t>
      </w:r>
      <w:r>
        <w:rPr>
          <w:color w:val="1A232A"/>
          <w:sz w:val="21"/>
          <w:vertAlign w:val="superscript"/>
        </w:rPr>
        <w:t>8</w:t>
      </w:r>
      <w:r>
        <w:rPr>
          <w:color w:val="1A232A"/>
        </w:rPr>
        <w:t xml:space="preserve"> </w:t>
      </w:r>
    </w:p>
    <w:p w14:paraId="59B830ED" w14:textId="77777777" w:rsidR="00F50D3A" w:rsidRDefault="00395364">
      <w:pPr>
        <w:spacing w:after="0" w:line="259" w:lineRule="auto"/>
        <w:ind w:left="0" w:firstLine="0"/>
      </w:pPr>
      <w:r>
        <w:rPr>
          <w:color w:val="1A232A"/>
        </w:rPr>
        <w:t xml:space="preserve"> </w:t>
      </w:r>
    </w:p>
    <w:p w14:paraId="0A39E252" w14:textId="77777777" w:rsidR="00F50D3A" w:rsidRDefault="00395364">
      <w:pPr>
        <w:spacing w:after="70" w:line="226" w:lineRule="auto"/>
        <w:ind w:left="705" w:hanging="720"/>
      </w:pPr>
      <w:r>
        <w:rPr>
          <w:color w:val="1A232A"/>
        </w:rPr>
        <w:t xml:space="preserve">4.1.2 </w:t>
      </w:r>
      <w:r>
        <w:rPr>
          <w:color w:val="1A232A"/>
        </w:rPr>
        <w:tab/>
        <w:t>With effect from the date the conditions specified in the Appendix to the Deed of Adherence (</w:t>
      </w:r>
      <w:r>
        <w:rPr>
          <w:i/>
          <w:color w:val="1A232A"/>
        </w:rPr>
        <w:t>as discussed in paragraph 3 below</w:t>
      </w:r>
      <w:r>
        <w:rPr>
          <w:color w:val="1A232A"/>
        </w:rPr>
        <w:t>) are fulfilled to the satisfaction of the IMSP Procuring Authority</w:t>
      </w:r>
      <w:r w:rsidRPr="00A7134A">
        <w:rPr>
          <w:color w:val="1A232A"/>
          <w:vertAlign w:val="superscript"/>
        </w:rPr>
        <w:t>9</w:t>
      </w:r>
      <w:r>
        <w:rPr>
          <w:color w:val="1A232A"/>
        </w:rPr>
        <w:t>, the New Party will be bound by and obliged to observe and perform the terms of the IFA.</w:t>
      </w:r>
      <w:r>
        <w:rPr>
          <w:color w:val="1A232A"/>
          <w:sz w:val="21"/>
          <w:vertAlign w:val="superscript"/>
        </w:rPr>
        <w:t xml:space="preserve">10 </w:t>
      </w:r>
    </w:p>
    <w:p w14:paraId="69AC1EAE" w14:textId="77777777" w:rsidR="00F50D3A" w:rsidRDefault="00395364">
      <w:pPr>
        <w:spacing w:after="0" w:line="259" w:lineRule="auto"/>
        <w:ind w:left="720" w:firstLine="0"/>
      </w:pPr>
      <w:r>
        <w:rPr>
          <w:color w:val="1A232A"/>
        </w:rPr>
        <w:t xml:space="preserve"> </w:t>
      </w:r>
    </w:p>
    <w:p w14:paraId="0B21F093" w14:textId="77777777" w:rsidR="00F50D3A" w:rsidRDefault="00395364">
      <w:pPr>
        <w:spacing w:after="73" w:line="226" w:lineRule="auto"/>
        <w:ind w:left="730"/>
      </w:pPr>
      <w:r>
        <w:rPr>
          <w:color w:val="1A232A"/>
        </w:rPr>
        <w:t>Please note that each TC and TSP irrevocably appoints the IMSP as its duly authorised lawful attorney for the purposes of executing on behalf of such TC or TSP the Deed of Adherence with the New Party.</w:t>
      </w:r>
      <w:r>
        <w:rPr>
          <w:color w:val="1A232A"/>
          <w:sz w:val="21"/>
          <w:vertAlign w:val="superscript"/>
        </w:rPr>
        <w:t xml:space="preserve">11 </w:t>
      </w:r>
    </w:p>
    <w:p w14:paraId="3016F871" w14:textId="77777777" w:rsidR="00F50D3A" w:rsidRDefault="00395364">
      <w:pPr>
        <w:spacing w:after="0" w:line="259" w:lineRule="auto"/>
        <w:ind w:left="0" w:firstLine="0"/>
      </w:pPr>
      <w:r>
        <w:rPr>
          <w:color w:val="1A232A"/>
        </w:rPr>
        <w:t xml:space="preserve"> </w:t>
      </w:r>
    </w:p>
    <w:p w14:paraId="7C45D400" w14:textId="77777777" w:rsidR="00F50D3A" w:rsidRDefault="00395364">
      <w:pPr>
        <w:spacing w:after="70" w:line="226" w:lineRule="auto"/>
        <w:ind w:left="705" w:hanging="720"/>
      </w:pPr>
      <w:r>
        <w:rPr>
          <w:color w:val="1A232A"/>
        </w:rPr>
        <w:lastRenderedPageBreak/>
        <w:t xml:space="preserve">4.1.3 </w:t>
      </w:r>
      <w:r>
        <w:rPr>
          <w:color w:val="1A232A"/>
        </w:rPr>
        <w:tab/>
        <w:t>The Deed of Adherence provides that the IFA shall be amended and restated to include the New Party as a party to the IFA as though the New Party had been an original party and signatory to the IFA. In particular, Schedule 1 (Parties) to the IFA shall be amended by the inclusion of notice details of the New Party.</w:t>
      </w:r>
      <w:r>
        <w:rPr>
          <w:color w:val="1A232A"/>
          <w:sz w:val="21"/>
          <w:vertAlign w:val="superscript"/>
        </w:rPr>
        <w:t xml:space="preserve">12 </w:t>
      </w:r>
    </w:p>
    <w:p w14:paraId="1DE2F2BF" w14:textId="77777777" w:rsidR="00F50D3A" w:rsidRDefault="00395364">
      <w:pPr>
        <w:spacing w:after="0" w:line="259" w:lineRule="auto"/>
        <w:ind w:left="0" w:firstLine="0"/>
      </w:pPr>
      <w:r>
        <w:rPr>
          <w:color w:val="1A232A"/>
        </w:rPr>
        <w:t xml:space="preserve"> </w:t>
      </w:r>
    </w:p>
    <w:p w14:paraId="26874ED9" w14:textId="77777777" w:rsidR="00F50D3A" w:rsidRDefault="00395364">
      <w:pPr>
        <w:spacing w:after="189" w:line="226" w:lineRule="auto"/>
        <w:ind w:left="705" w:hanging="720"/>
      </w:pPr>
      <w:r>
        <w:rPr>
          <w:color w:val="1A232A"/>
        </w:rPr>
        <w:t xml:space="preserve">4.1.4 </w:t>
      </w:r>
      <w:r>
        <w:rPr>
          <w:color w:val="1A232A"/>
        </w:rPr>
        <w:tab/>
        <w:t>The New Party who has entered into a Deed of Adherence shall have all the rights and obligations under the IFA as if it were named in the IFA as a TSP.</w:t>
      </w:r>
      <w:r>
        <w:rPr>
          <w:color w:val="1A232A"/>
          <w:sz w:val="21"/>
          <w:vertAlign w:val="superscript"/>
        </w:rPr>
        <w:t xml:space="preserve">13 </w:t>
      </w:r>
    </w:p>
    <w:p w14:paraId="2FE89CEC" w14:textId="77777777" w:rsidR="00F50D3A" w:rsidRDefault="00395364">
      <w:pPr>
        <w:spacing w:after="286" w:line="259" w:lineRule="auto"/>
        <w:ind w:left="0" w:firstLine="0"/>
      </w:pPr>
      <w:r>
        <w:t xml:space="preserve"> </w:t>
      </w:r>
    </w:p>
    <w:p w14:paraId="09D8C528" w14:textId="77777777" w:rsidR="00F50D3A" w:rsidRDefault="00395364">
      <w:pPr>
        <w:pStyle w:val="Heading2"/>
        <w:ind w:left="-5"/>
      </w:pPr>
      <w:r>
        <w:t xml:space="preserve">4.2 Conditions for a new TSP to join the IFA </w:t>
      </w:r>
    </w:p>
    <w:p w14:paraId="5C104494" w14:textId="77777777" w:rsidR="00F50D3A" w:rsidRDefault="00395364">
      <w:pPr>
        <w:spacing w:after="0" w:line="259" w:lineRule="auto"/>
        <w:ind w:left="0" w:firstLine="0"/>
      </w:pPr>
      <w:r>
        <w:rPr>
          <w:color w:val="1A232A"/>
        </w:rPr>
        <w:t xml:space="preserve"> </w:t>
      </w:r>
    </w:p>
    <w:p w14:paraId="7723D2AE" w14:textId="77777777" w:rsidR="00F50D3A" w:rsidRDefault="00395364">
      <w:pPr>
        <w:ind w:left="705" w:hanging="720"/>
      </w:pPr>
      <w:r>
        <w:t xml:space="preserve">4.2.1 </w:t>
      </w:r>
      <w:r>
        <w:tab/>
        <w:t>Prior to the New Party acceding to the IFA, the New Party must comply with the IMSP’s testing and certification requirements in order to demonstrate compliance with the requirements of the IFA.</w:t>
      </w:r>
      <w:r w:rsidRPr="00A7134A">
        <w:rPr>
          <w:vertAlign w:val="superscript"/>
        </w:rPr>
        <w:t>14</w:t>
      </w:r>
      <w:r>
        <w:t xml:space="preserve"> </w:t>
      </w:r>
    </w:p>
    <w:p w14:paraId="34565326" w14:textId="77777777" w:rsidR="00F50D3A" w:rsidRDefault="00395364">
      <w:pPr>
        <w:spacing w:after="0" w:line="259" w:lineRule="auto"/>
        <w:ind w:left="0" w:firstLine="0"/>
      </w:pPr>
      <w:r>
        <w:t xml:space="preserve"> </w:t>
      </w:r>
    </w:p>
    <w:p w14:paraId="6EC0AF0B" w14:textId="77777777" w:rsidR="00F50D3A" w:rsidRDefault="00395364">
      <w:pPr>
        <w:ind w:left="705" w:hanging="720"/>
      </w:pPr>
      <w:r>
        <w:t xml:space="preserve">4.2.2 </w:t>
      </w:r>
      <w:r>
        <w:tab/>
        <w:t xml:space="preserve">The following is a summary of the main conditions necessary for a New Party to join the IFA from the Appendix to the Deed of Adherence: </w:t>
      </w:r>
    </w:p>
    <w:p w14:paraId="71083BD1" w14:textId="77777777" w:rsidR="00F50D3A" w:rsidRDefault="00395364">
      <w:pPr>
        <w:spacing w:after="0" w:line="259" w:lineRule="auto"/>
        <w:ind w:left="0" w:firstLine="0"/>
      </w:pPr>
      <w:r>
        <w:t xml:space="preserve"> </w:t>
      </w:r>
    </w:p>
    <w:p w14:paraId="63EBC6D2" w14:textId="77777777" w:rsidR="00F50D3A" w:rsidRDefault="00395364">
      <w:pPr>
        <w:ind w:left="-5"/>
      </w:pPr>
      <w:r>
        <w:t>The New Party shall provide evidence, in form and substance satisfactory to the IMSP Procuring Authority, that: it is capable of complying with the relevant technical requirements set out in Schedule 2 (Service Requirements);</w:t>
      </w:r>
      <w:r w:rsidRPr="00A7134A">
        <w:rPr>
          <w:vertAlign w:val="superscript"/>
        </w:rPr>
        <w:t>15</w:t>
      </w:r>
      <w:r>
        <w:t xml:space="preserve"> the New Party has successfully tested its OBU in relation to at least one Toll Station in the State;</w:t>
      </w:r>
      <w:r w:rsidRPr="00A7134A">
        <w:rPr>
          <w:vertAlign w:val="superscript"/>
        </w:rPr>
        <w:t>16</w:t>
      </w:r>
      <w:r>
        <w:t xml:space="preserve"> and the New Party has entered into a TCA with at least one other party, other than the IMSP</w:t>
      </w:r>
      <w:r w:rsidRPr="00A7134A">
        <w:rPr>
          <w:vertAlign w:val="superscript"/>
        </w:rPr>
        <w:t>.17</w:t>
      </w:r>
      <w:r>
        <w:t xml:space="preserve"> </w:t>
      </w:r>
    </w:p>
    <w:p w14:paraId="673756E7" w14:textId="77777777" w:rsidR="00F50D3A" w:rsidRDefault="00395364">
      <w:pPr>
        <w:spacing w:after="0" w:line="259" w:lineRule="auto"/>
        <w:ind w:left="0" w:firstLine="0"/>
      </w:pPr>
      <w:r>
        <w:t xml:space="preserve"> </w:t>
      </w:r>
    </w:p>
    <w:p w14:paraId="510DDC58" w14:textId="77777777" w:rsidR="00F50D3A" w:rsidRDefault="00395364">
      <w:pPr>
        <w:ind w:left="-5"/>
      </w:pPr>
      <w:r>
        <w:t xml:space="preserve">The New Party shall provide the following information to the IMSP Procuring Authority: </w:t>
      </w:r>
    </w:p>
    <w:p w14:paraId="1BCB028C" w14:textId="77777777" w:rsidR="00F50D3A" w:rsidRDefault="00395364">
      <w:pPr>
        <w:spacing w:after="0" w:line="259" w:lineRule="auto"/>
        <w:ind w:left="0" w:firstLine="0"/>
      </w:pPr>
      <w:r>
        <w:t xml:space="preserve"> </w:t>
      </w:r>
    </w:p>
    <w:p w14:paraId="562D81E2" w14:textId="77777777" w:rsidR="00F50D3A" w:rsidRDefault="00395364">
      <w:pPr>
        <w:spacing w:after="31"/>
        <w:ind w:left="-5"/>
      </w:pPr>
      <w:r>
        <w:t>details of the New Party (including its full legal name, registered company number, registered company address, trading or business name, telephone number and email address);</w:t>
      </w:r>
      <w:r>
        <w:rPr>
          <w:sz w:val="21"/>
          <w:vertAlign w:val="superscript"/>
        </w:rPr>
        <w:t>18</w:t>
      </w:r>
      <w:r>
        <w:t xml:space="preserve"> </w:t>
      </w:r>
    </w:p>
    <w:p w14:paraId="2ADCB0D1" w14:textId="77777777" w:rsidR="00F50D3A" w:rsidRDefault="00395364">
      <w:pPr>
        <w:spacing w:after="0" w:line="259" w:lineRule="auto"/>
        <w:ind w:left="0" w:firstLine="0"/>
      </w:pPr>
      <w:r>
        <w:t xml:space="preserve"> </w:t>
      </w:r>
    </w:p>
    <w:p w14:paraId="6F78031C" w14:textId="77777777" w:rsidR="00F50D3A" w:rsidRDefault="00395364">
      <w:pPr>
        <w:numPr>
          <w:ilvl w:val="0"/>
          <w:numId w:val="4"/>
        </w:numPr>
        <w:ind w:hanging="521"/>
      </w:pPr>
      <w:r>
        <w:t>details of the New Party’s representative (including name, address, telephone number and email address);</w:t>
      </w:r>
      <w:r>
        <w:rPr>
          <w:sz w:val="21"/>
          <w:vertAlign w:val="superscript"/>
        </w:rPr>
        <w:t>19</w:t>
      </w:r>
      <w:r>
        <w:t xml:space="preserve"> </w:t>
      </w:r>
    </w:p>
    <w:p w14:paraId="6A1C4A6C" w14:textId="77777777" w:rsidR="00F50D3A" w:rsidRDefault="00395364">
      <w:pPr>
        <w:spacing w:after="0" w:line="259" w:lineRule="auto"/>
        <w:ind w:left="0" w:firstLine="0"/>
      </w:pPr>
      <w:r>
        <w:t xml:space="preserve"> </w:t>
      </w:r>
    </w:p>
    <w:p w14:paraId="5A5FF7CF" w14:textId="77777777" w:rsidR="00F50D3A" w:rsidRDefault="00395364">
      <w:pPr>
        <w:numPr>
          <w:ilvl w:val="0"/>
          <w:numId w:val="4"/>
        </w:numPr>
        <w:spacing w:after="28"/>
        <w:ind w:hanging="521"/>
      </w:pPr>
      <w:r>
        <w:t>details of the number of years the New Party has carried on business under its current name;</w:t>
      </w:r>
      <w:r>
        <w:rPr>
          <w:sz w:val="21"/>
          <w:vertAlign w:val="superscript"/>
        </w:rPr>
        <w:t>20</w:t>
      </w:r>
      <w:r>
        <w:t xml:space="preserve"> and </w:t>
      </w:r>
    </w:p>
    <w:p w14:paraId="2EB2B397" w14:textId="77777777" w:rsidR="00F50D3A" w:rsidRDefault="00395364">
      <w:pPr>
        <w:ind w:left="847" w:right="3185" w:hanging="862"/>
      </w:pPr>
      <w:r>
        <w:t xml:space="preserve"> iii.</w:t>
      </w:r>
      <w:r>
        <w:rPr>
          <w:rFonts w:ascii="Arial" w:eastAsia="Arial" w:hAnsi="Arial" w:cs="Arial"/>
        </w:rPr>
        <w:t xml:space="preserve"> </w:t>
      </w:r>
      <w:r>
        <w:rPr>
          <w:rFonts w:ascii="Arial" w:eastAsia="Arial" w:hAnsi="Arial" w:cs="Arial"/>
        </w:rPr>
        <w:tab/>
      </w:r>
      <w:r>
        <w:t>details of the New Party’s corporate status.</w:t>
      </w:r>
      <w:r>
        <w:rPr>
          <w:sz w:val="21"/>
          <w:vertAlign w:val="superscript"/>
        </w:rPr>
        <w:t>21</w:t>
      </w:r>
      <w:r>
        <w:t xml:space="preserve"> </w:t>
      </w:r>
    </w:p>
    <w:p w14:paraId="18A07735" w14:textId="77777777" w:rsidR="00F50D3A" w:rsidRDefault="00395364">
      <w:pPr>
        <w:spacing w:after="0" w:line="259" w:lineRule="auto"/>
        <w:ind w:left="0" w:firstLine="0"/>
      </w:pPr>
      <w:r>
        <w:rPr>
          <w:color w:val="1A232A"/>
        </w:rPr>
        <w:t xml:space="preserve"> </w:t>
      </w:r>
    </w:p>
    <w:p w14:paraId="5F09ED71" w14:textId="77777777" w:rsidR="00F50D3A" w:rsidRDefault="00395364">
      <w:pPr>
        <w:numPr>
          <w:ilvl w:val="0"/>
          <w:numId w:val="5"/>
        </w:numPr>
        <w:ind w:right="24" w:hanging="360"/>
      </w:pPr>
      <w:r>
        <w:t xml:space="preserve">The New Party shall provide a declaration, in form and substance satisfactory to the IMSP Procuring Authority, confirming that it: </w:t>
      </w:r>
    </w:p>
    <w:p w14:paraId="1AE6E2F1" w14:textId="77777777" w:rsidR="00F50D3A" w:rsidRDefault="00395364">
      <w:pPr>
        <w:spacing w:after="0" w:line="259" w:lineRule="auto"/>
        <w:ind w:left="0" w:firstLine="0"/>
      </w:pPr>
      <w:r>
        <w:t xml:space="preserve"> </w:t>
      </w:r>
    </w:p>
    <w:p w14:paraId="269CF7B1" w14:textId="77777777" w:rsidR="00F50D3A" w:rsidRDefault="00395364">
      <w:pPr>
        <w:numPr>
          <w:ilvl w:val="1"/>
          <w:numId w:val="5"/>
        </w:numPr>
        <w:ind w:hanging="581"/>
      </w:pPr>
      <w:r>
        <w:t xml:space="preserve">is not bankrupt or is being wound up, its affairs are not being administered by the court, it has not entered into an arrangement with creditors, it has </w:t>
      </w:r>
      <w:r>
        <w:lastRenderedPageBreak/>
        <w:t>not suspended business activities or is not in any analogous situation arising from a similar procedure under national laws and regulations;</w:t>
      </w:r>
      <w:r>
        <w:rPr>
          <w:sz w:val="21"/>
          <w:vertAlign w:val="superscript"/>
        </w:rPr>
        <w:t>22</w:t>
      </w:r>
      <w:r>
        <w:t xml:space="preserve"> </w:t>
      </w:r>
    </w:p>
    <w:p w14:paraId="6ED7075B" w14:textId="77777777" w:rsidR="00F50D3A" w:rsidRDefault="00395364">
      <w:pPr>
        <w:spacing w:after="0" w:line="259" w:lineRule="auto"/>
        <w:ind w:left="0" w:firstLine="0"/>
      </w:pPr>
      <w:r>
        <w:t xml:space="preserve"> </w:t>
      </w:r>
    </w:p>
    <w:p w14:paraId="4A4227E4" w14:textId="77777777" w:rsidR="00F50D3A" w:rsidRDefault="00395364">
      <w:pPr>
        <w:numPr>
          <w:ilvl w:val="1"/>
          <w:numId w:val="5"/>
        </w:numPr>
        <w:spacing w:after="25"/>
        <w:ind w:hanging="581"/>
      </w:pPr>
      <w:r>
        <w:t>is not the subject of proceedings for a declaration of bankruptcy, for an order for compulsory winding up or administration by the court or of an arrangement with creditors or of any similar proceedings under national laws and regulation;</w:t>
      </w:r>
      <w:r>
        <w:rPr>
          <w:sz w:val="21"/>
          <w:vertAlign w:val="superscript"/>
        </w:rPr>
        <w:t>23</w:t>
      </w:r>
      <w:r>
        <w:t xml:space="preserve"> </w:t>
      </w:r>
    </w:p>
    <w:p w14:paraId="67013D27" w14:textId="77777777" w:rsidR="00F50D3A" w:rsidRDefault="00395364">
      <w:pPr>
        <w:spacing w:after="0" w:line="259" w:lineRule="auto"/>
        <w:ind w:left="0" w:firstLine="0"/>
      </w:pPr>
      <w:r>
        <w:t xml:space="preserve"> </w:t>
      </w:r>
    </w:p>
    <w:p w14:paraId="3593ED84" w14:textId="77777777" w:rsidR="00F50D3A" w:rsidRDefault="00395364">
      <w:pPr>
        <w:numPr>
          <w:ilvl w:val="1"/>
          <w:numId w:val="5"/>
        </w:numPr>
        <w:ind w:hanging="581"/>
      </w:pPr>
      <w:r>
        <w:t>has not been convicted by a judgment which has the force of res judicata in accordance with the legal provisions of the country of any offence concerning its professional conduct;</w:t>
      </w:r>
      <w:r>
        <w:rPr>
          <w:sz w:val="21"/>
          <w:vertAlign w:val="superscript"/>
        </w:rPr>
        <w:t>24</w:t>
      </w:r>
      <w:r>
        <w:t xml:space="preserve"> </w:t>
      </w:r>
    </w:p>
    <w:p w14:paraId="070BAD75" w14:textId="77777777" w:rsidR="00F50D3A" w:rsidRDefault="00395364">
      <w:pPr>
        <w:spacing w:after="0" w:line="259" w:lineRule="auto"/>
        <w:ind w:left="0" w:firstLine="0"/>
      </w:pPr>
      <w:r>
        <w:t xml:space="preserve"> </w:t>
      </w:r>
    </w:p>
    <w:p w14:paraId="660A2670" w14:textId="77777777" w:rsidR="00F50D3A" w:rsidRDefault="00395364">
      <w:pPr>
        <w:numPr>
          <w:ilvl w:val="1"/>
          <w:numId w:val="5"/>
        </w:numPr>
        <w:ind w:hanging="581"/>
      </w:pPr>
      <w:r>
        <w:t>has fulfilled its obligations relating to the payment of social security contributions in accordance with the legal provisions of the country in which it is established;</w:t>
      </w:r>
      <w:r>
        <w:rPr>
          <w:sz w:val="21"/>
          <w:vertAlign w:val="superscript"/>
        </w:rPr>
        <w:t>25</w:t>
      </w:r>
      <w:r>
        <w:t xml:space="preserve"> and </w:t>
      </w:r>
    </w:p>
    <w:p w14:paraId="2E7174B9" w14:textId="77777777" w:rsidR="00F50D3A" w:rsidRDefault="00395364">
      <w:pPr>
        <w:spacing w:after="0" w:line="259" w:lineRule="auto"/>
        <w:ind w:left="0" w:firstLine="0"/>
      </w:pPr>
      <w:r>
        <w:t xml:space="preserve"> </w:t>
      </w:r>
    </w:p>
    <w:p w14:paraId="5197B579" w14:textId="77777777" w:rsidR="00F50D3A" w:rsidRDefault="00395364">
      <w:pPr>
        <w:numPr>
          <w:ilvl w:val="1"/>
          <w:numId w:val="5"/>
        </w:numPr>
        <w:spacing w:after="47" w:line="217" w:lineRule="auto"/>
        <w:ind w:hanging="581"/>
      </w:pPr>
      <w:r>
        <w:t>has fulfilled its obligations relating to the payment of taxes in accordance with the legal provisions of the country in which he is established.</w:t>
      </w:r>
      <w:r>
        <w:rPr>
          <w:sz w:val="21"/>
          <w:vertAlign w:val="superscript"/>
        </w:rPr>
        <w:t>26</w:t>
      </w:r>
      <w:r>
        <w:t xml:space="preserve"> </w:t>
      </w:r>
    </w:p>
    <w:p w14:paraId="4419BBBF" w14:textId="77777777" w:rsidR="00F50D3A" w:rsidRDefault="00395364">
      <w:pPr>
        <w:spacing w:after="0" w:line="259" w:lineRule="auto"/>
        <w:ind w:left="0" w:firstLine="0"/>
      </w:pPr>
      <w:r>
        <w:t xml:space="preserve"> </w:t>
      </w:r>
    </w:p>
    <w:p w14:paraId="2A447198" w14:textId="77777777" w:rsidR="00F50D3A" w:rsidRDefault="00395364">
      <w:pPr>
        <w:numPr>
          <w:ilvl w:val="0"/>
          <w:numId w:val="5"/>
        </w:numPr>
        <w:spacing w:after="47" w:line="217" w:lineRule="auto"/>
        <w:ind w:right="24" w:hanging="360"/>
      </w:pPr>
      <w:r>
        <w:t xml:space="preserve">The New Party shall also provide the following to the IMSP Procuring Authority: </w:t>
      </w:r>
    </w:p>
    <w:p w14:paraId="1EC69A94" w14:textId="77777777" w:rsidR="00F50D3A" w:rsidRDefault="00395364">
      <w:pPr>
        <w:spacing w:after="0" w:line="259" w:lineRule="auto"/>
        <w:ind w:left="0" w:firstLine="0"/>
      </w:pPr>
      <w:r>
        <w:t xml:space="preserve"> </w:t>
      </w:r>
    </w:p>
    <w:p w14:paraId="4424E8BF" w14:textId="77777777" w:rsidR="00F50D3A" w:rsidRDefault="00395364">
      <w:pPr>
        <w:numPr>
          <w:ilvl w:val="1"/>
          <w:numId w:val="5"/>
        </w:numPr>
        <w:ind w:hanging="581"/>
      </w:pPr>
      <w:r>
        <w:t xml:space="preserve">a detailed description of the technical equipment to be provided by the </w:t>
      </w:r>
    </w:p>
    <w:p w14:paraId="5701BE14" w14:textId="77777777" w:rsidR="00F50D3A" w:rsidRDefault="00395364">
      <w:pPr>
        <w:ind w:left="919" w:firstLine="521"/>
      </w:pPr>
      <w:r>
        <w:t>New Party for the purpose of facilitating ETC in accordance with the IFA;</w:t>
      </w:r>
      <w:r>
        <w:rPr>
          <w:sz w:val="21"/>
          <w:vertAlign w:val="superscript"/>
        </w:rPr>
        <w:t>27</w:t>
      </w:r>
      <w:r>
        <w:t xml:space="preserve"> ii.</w:t>
      </w:r>
      <w:r>
        <w:rPr>
          <w:rFonts w:ascii="Arial" w:eastAsia="Arial" w:hAnsi="Arial" w:cs="Arial"/>
        </w:rPr>
        <w:t xml:space="preserve"> </w:t>
      </w:r>
      <w:r>
        <w:rPr>
          <w:rFonts w:ascii="Arial" w:eastAsia="Arial" w:hAnsi="Arial" w:cs="Arial"/>
        </w:rPr>
        <w:tab/>
      </w:r>
      <w:r>
        <w:t>a statement outlining the New Party’s proposed contracting policy towards Toll Users, incorporating proposed key terms and conditions of contract;</w:t>
      </w:r>
      <w:r>
        <w:rPr>
          <w:sz w:val="21"/>
          <w:vertAlign w:val="superscript"/>
        </w:rPr>
        <w:t>28</w:t>
      </w:r>
      <w:r>
        <w:t xml:space="preserve"> and a global risk management plan outlining the evaluation and mitigation measures of the risks relevant to its provision of ETC.</w:t>
      </w:r>
      <w:r>
        <w:rPr>
          <w:sz w:val="21"/>
          <w:vertAlign w:val="superscript"/>
        </w:rPr>
        <w:t>29</w:t>
      </w:r>
      <w:r>
        <w:t xml:space="preserve"> </w:t>
      </w:r>
    </w:p>
    <w:p w14:paraId="78E5E52C" w14:textId="77777777" w:rsidR="00F50D3A" w:rsidRDefault="00395364">
      <w:pPr>
        <w:spacing w:after="0" w:line="259" w:lineRule="auto"/>
        <w:ind w:left="0" w:firstLine="0"/>
      </w:pPr>
      <w:r>
        <w:t xml:space="preserve"> </w:t>
      </w:r>
    </w:p>
    <w:p w14:paraId="2695B602" w14:textId="77777777" w:rsidR="00F50D3A" w:rsidRDefault="00395364">
      <w:pPr>
        <w:spacing w:after="0" w:line="259" w:lineRule="auto"/>
        <w:ind w:left="0" w:firstLine="0"/>
      </w:pPr>
      <w:r>
        <w:t xml:space="preserve"> </w:t>
      </w:r>
    </w:p>
    <w:p w14:paraId="5874294A" w14:textId="77777777" w:rsidR="00F50D3A" w:rsidRDefault="00395364">
      <w:pPr>
        <w:spacing w:after="0" w:line="259" w:lineRule="auto"/>
        <w:ind w:left="0" w:firstLine="0"/>
      </w:pPr>
      <w:r>
        <w:t xml:space="preserve"> </w:t>
      </w:r>
    </w:p>
    <w:p w14:paraId="7B60EF6B" w14:textId="77777777" w:rsidR="00F50D3A" w:rsidRDefault="00395364">
      <w:pPr>
        <w:spacing w:after="92" w:line="259" w:lineRule="auto"/>
        <w:ind w:left="0" w:firstLine="0"/>
      </w:pPr>
      <w:r>
        <w:t xml:space="preserve"> </w:t>
      </w:r>
    </w:p>
    <w:p w14:paraId="50CDDF85" w14:textId="77777777" w:rsidR="00F50D3A" w:rsidRDefault="00395364">
      <w:pPr>
        <w:spacing w:after="53" w:line="259" w:lineRule="auto"/>
        <w:ind w:left="0" w:firstLine="0"/>
      </w:pPr>
      <w:r>
        <w:rPr>
          <w:b/>
          <w:color w:val="15B6EB"/>
          <w:sz w:val="23"/>
        </w:rPr>
        <w:t>www.eflow.ie   @eflow_freeflow</w:t>
      </w:r>
      <w:r>
        <w:rPr>
          <w:color w:val="15B6EB"/>
          <w:sz w:val="23"/>
        </w:rPr>
        <w:t xml:space="preserve"> </w:t>
      </w:r>
    </w:p>
    <w:p w14:paraId="0504D0B4" w14:textId="033BC939" w:rsidR="00F50D3A" w:rsidRDefault="00834F79">
      <w:pPr>
        <w:spacing w:after="0" w:line="259" w:lineRule="auto"/>
        <w:ind w:left="0" w:firstLine="0"/>
      </w:pPr>
      <w:r>
        <w:rPr>
          <w:color w:val="2C4551"/>
          <w:sz w:val="16"/>
        </w:rPr>
        <w:t>PO Box 13294, South City DSU, Cork, Ireland</w:t>
      </w:r>
      <w:r w:rsidR="00395364">
        <w:rPr>
          <w:color w:val="2C4551"/>
          <w:sz w:val="16"/>
        </w:rPr>
        <w:t>.</w:t>
      </w:r>
      <w:r w:rsidR="00395364">
        <w:rPr>
          <w:sz w:val="21"/>
        </w:rPr>
        <w:t xml:space="preserve"> </w:t>
      </w:r>
    </w:p>
    <w:sectPr w:rsidR="00F50D3A">
      <w:headerReference w:type="even" r:id="rId10"/>
      <w:headerReference w:type="default" r:id="rId11"/>
      <w:footerReference w:type="even" r:id="rId12"/>
      <w:footerReference w:type="default" r:id="rId13"/>
      <w:headerReference w:type="first" r:id="rId14"/>
      <w:footerReference w:type="first" r:id="rId15"/>
      <w:pgSz w:w="11906" w:h="16838"/>
      <w:pgMar w:top="557" w:right="1455" w:bottom="708"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9DE8DB" w14:textId="77777777" w:rsidR="00B95F8F" w:rsidRDefault="00B95F8F">
      <w:pPr>
        <w:spacing w:after="0" w:line="240" w:lineRule="auto"/>
      </w:pPr>
      <w:r>
        <w:separator/>
      </w:r>
    </w:p>
  </w:endnote>
  <w:endnote w:type="continuationSeparator" w:id="0">
    <w:p w14:paraId="02E8C94E" w14:textId="77777777" w:rsidR="00B95F8F" w:rsidRDefault="00B95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13A98" w14:textId="77777777" w:rsidR="00E12496" w:rsidRDefault="00E12496">
    <w:pPr>
      <w:spacing w:after="0" w:line="259" w:lineRule="auto"/>
      <w:ind w:left="0" w:right="-14" w:firstLine="0"/>
      <w:jc w:val="right"/>
    </w:pPr>
    <w:r>
      <w:rPr>
        <w:noProof/>
      </w:rPr>
      <w:drawing>
        <wp:anchor distT="0" distB="0" distL="114300" distR="114300" simplePos="0" relativeHeight="251658240" behindDoc="0" locked="0" layoutInCell="1" allowOverlap="0" wp14:anchorId="52B74D36" wp14:editId="5D19EA15">
          <wp:simplePos x="0" y="0"/>
          <wp:positionH relativeFrom="page">
            <wp:posOffset>0</wp:posOffset>
          </wp:positionH>
          <wp:positionV relativeFrom="page">
            <wp:posOffset>9925050</wp:posOffset>
          </wp:positionV>
          <wp:extent cx="5732145" cy="294005"/>
          <wp:effectExtent l="0" t="0" r="0" b="0"/>
          <wp:wrapSquare wrapText="bothSides"/>
          <wp:docPr id="40" name="Picture 40"/>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1"/>
                  <a:stretch>
                    <a:fillRect/>
                  </a:stretch>
                </pic:blipFill>
                <pic:spPr>
                  <a:xfrm rot="-10799999" flipV="1">
                    <a:off x="0" y="0"/>
                    <a:ext cx="5732145" cy="294005"/>
                  </a:xfrm>
                  <a:prstGeom prst="rect">
                    <a:avLst/>
                  </a:prstGeom>
                </pic:spPr>
              </pic:pic>
            </a:graphicData>
          </a:graphic>
        </wp:anchor>
      </w:drawing>
    </w:r>
    <w:r>
      <w:fldChar w:fldCharType="begin"/>
    </w:r>
    <w:r>
      <w:instrText xml:space="preserve"> PAGE   \* MERGEFORMAT </w:instrText>
    </w:r>
    <w:r>
      <w:fldChar w:fldCharType="separate"/>
    </w:r>
    <w:r>
      <w:rPr>
        <w:b/>
        <w:color w:val="2FB4E9"/>
        <w:sz w:val="21"/>
      </w:rPr>
      <w:t>2</w:t>
    </w:r>
    <w:r>
      <w:rPr>
        <w:b/>
        <w:color w:val="2FB4E9"/>
        <w:sz w:val="21"/>
      </w:rPr>
      <w:fldChar w:fldCharType="end"/>
    </w:r>
    <w:r>
      <w:rPr>
        <w:b/>
        <w:color w:val="2FB4E9"/>
        <w:sz w:val="21"/>
      </w:rPr>
      <w:t xml:space="preserve"> </w:t>
    </w:r>
  </w:p>
  <w:p w14:paraId="6C51A6D8" w14:textId="77777777" w:rsidR="00E12496" w:rsidRDefault="00E12496">
    <w:pPr>
      <w:spacing w:after="0" w:line="259" w:lineRule="auto"/>
      <w:ind w:left="0" w:right="-59" w:firstLine="0"/>
      <w:jc w:val="right"/>
    </w:pPr>
    <w:r>
      <w:rPr>
        <w:sz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7CA8C" w14:textId="77777777" w:rsidR="00E12496" w:rsidRDefault="00E12496">
    <w:pPr>
      <w:spacing w:after="0" w:line="259" w:lineRule="auto"/>
      <w:ind w:left="0" w:right="-14" w:firstLine="0"/>
      <w:jc w:val="right"/>
    </w:pPr>
    <w:r>
      <w:rPr>
        <w:noProof/>
      </w:rPr>
      <w:drawing>
        <wp:anchor distT="0" distB="0" distL="114300" distR="114300" simplePos="0" relativeHeight="251659264" behindDoc="0" locked="0" layoutInCell="1" allowOverlap="0" wp14:anchorId="4635FCD3" wp14:editId="2030F249">
          <wp:simplePos x="0" y="0"/>
          <wp:positionH relativeFrom="page">
            <wp:posOffset>0</wp:posOffset>
          </wp:positionH>
          <wp:positionV relativeFrom="page">
            <wp:posOffset>9925050</wp:posOffset>
          </wp:positionV>
          <wp:extent cx="5732145" cy="29400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1"/>
                  <a:stretch>
                    <a:fillRect/>
                  </a:stretch>
                </pic:blipFill>
                <pic:spPr>
                  <a:xfrm rot="-10799999" flipV="1">
                    <a:off x="0" y="0"/>
                    <a:ext cx="5732145" cy="294005"/>
                  </a:xfrm>
                  <a:prstGeom prst="rect">
                    <a:avLst/>
                  </a:prstGeom>
                </pic:spPr>
              </pic:pic>
            </a:graphicData>
          </a:graphic>
        </wp:anchor>
      </w:drawing>
    </w:r>
    <w:r>
      <w:fldChar w:fldCharType="begin"/>
    </w:r>
    <w:r>
      <w:instrText xml:space="preserve"> PAGE   \* MERGEFORMAT </w:instrText>
    </w:r>
    <w:r>
      <w:fldChar w:fldCharType="separate"/>
    </w:r>
    <w:r>
      <w:rPr>
        <w:b/>
        <w:color w:val="2FB4E9"/>
        <w:sz w:val="21"/>
      </w:rPr>
      <w:t>2</w:t>
    </w:r>
    <w:r>
      <w:rPr>
        <w:b/>
        <w:color w:val="2FB4E9"/>
        <w:sz w:val="21"/>
      </w:rPr>
      <w:fldChar w:fldCharType="end"/>
    </w:r>
    <w:r>
      <w:rPr>
        <w:b/>
        <w:color w:val="2FB4E9"/>
        <w:sz w:val="21"/>
      </w:rPr>
      <w:t xml:space="preserve"> </w:t>
    </w:r>
  </w:p>
  <w:p w14:paraId="777241B6" w14:textId="77777777" w:rsidR="00E12496" w:rsidRDefault="00E12496">
    <w:pPr>
      <w:spacing w:after="0" w:line="259" w:lineRule="auto"/>
      <w:ind w:left="0" w:right="-59" w:firstLine="0"/>
      <w:jc w:val="right"/>
    </w:pPr>
    <w:r>
      <w:rPr>
        <w:sz w:val="2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9F0D6" w14:textId="77777777" w:rsidR="00E12496" w:rsidRDefault="00E12496">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45381" w14:textId="77777777" w:rsidR="00B95F8F" w:rsidRDefault="00B95F8F">
      <w:pPr>
        <w:spacing w:after="0" w:line="240" w:lineRule="auto"/>
      </w:pPr>
      <w:r>
        <w:separator/>
      </w:r>
    </w:p>
  </w:footnote>
  <w:footnote w:type="continuationSeparator" w:id="0">
    <w:p w14:paraId="47BD6CE5" w14:textId="77777777" w:rsidR="00B95F8F" w:rsidRDefault="00B95F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FF51C" w14:textId="77777777" w:rsidR="00E12496" w:rsidRDefault="00E12496">
    <w:pPr>
      <w:spacing w:after="0" w:line="259" w:lineRule="auto"/>
      <w:ind w:left="0" w:firstLine="0"/>
    </w:pPr>
    <w:r>
      <w:rPr>
        <w:b/>
        <w:color w:val="2FB4E9"/>
        <w:sz w:val="44"/>
      </w:rPr>
      <w:t xml:space="preserve">M50 Toll Domain Statement </w:t>
    </w:r>
  </w:p>
  <w:p w14:paraId="4E0B3CF7" w14:textId="77777777" w:rsidR="00E12496" w:rsidRDefault="00E12496">
    <w:pPr>
      <w:spacing w:after="0" w:line="259" w:lineRule="auto"/>
      <w:ind w:left="0" w:firstLine="0"/>
    </w:pPr>
    <w:r>
      <w:rPr>
        <w:sz w:val="21"/>
      </w:rPr>
      <w:t xml:space="preserve"> </w:t>
    </w:r>
  </w:p>
  <w:p w14:paraId="202EAB12" w14:textId="77777777" w:rsidR="00E12496" w:rsidRDefault="00E12496">
    <w:pPr>
      <w:spacing w:after="0" w:line="259" w:lineRule="auto"/>
      <w:ind w:left="0" w:firstLine="0"/>
    </w:pPr>
    <w:r>
      <w:rPr>
        <w:sz w:val="21"/>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6C053" w14:textId="77777777" w:rsidR="00E12496" w:rsidRDefault="00E12496">
    <w:pPr>
      <w:spacing w:after="0" w:line="259" w:lineRule="auto"/>
      <w:ind w:left="0" w:firstLine="0"/>
    </w:pPr>
    <w:r>
      <w:rPr>
        <w:b/>
        <w:color w:val="2FB4E9"/>
        <w:sz w:val="44"/>
      </w:rPr>
      <w:t xml:space="preserve">M50 Toll Domain Statement </w:t>
    </w:r>
  </w:p>
  <w:p w14:paraId="48DCDF82" w14:textId="77777777" w:rsidR="00E12496" w:rsidRDefault="00E12496">
    <w:pPr>
      <w:spacing w:after="0" w:line="259" w:lineRule="auto"/>
      <w:ind w:left="0" w:firstLine="0"/>
    </w:pPr>
    <w:r>
      <w:rPr>
        <w:sz w:val="21"/>
      </w:rPr>
      <w:t xml:space="preserve"> </w:t>
    </w:r>
  </w:p>
  <w:p w14:paraId="5C775046" w14:textId="77777777" w:rsidR="00E12496" w:rsidRDefault="00E12496">
    <w:pPr>
      <w:spacing w:after="0" w:line="259" w:lineRule="auto"/>
      <w:ind w:left="0" w:firstLine="0"/>
    </w:pPr>
    <w:r>
      <w:rPr>
        <w:sz w:val="21"/>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F746C" w14:textId="77777777" w:rsidR="00E12496" w:rsidRDefault="00E12496">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F0D13"/>
    <w:multiLevelType w:val="hybridMultilevel"/>
    <w:tmpl w:val="64C657E8"/>
    <w:lvl w:ilvl="0" w:tplc="B85EA4CE">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E143A9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8A6453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CC876D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FEEE99E">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E006A80">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97257BE">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6081B64">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798AA10">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1185E0F"/>
    <w:multiLevelType w:val="hybridMultilevel"/>
    <w:tmpl w:val="6BC275F2"/>
    <w:lvl w:ilvl="0" w:tplc="34784498">
      <w:start w:val="1"/>
      <w:numFmt w:val="bullet"/>
      <w:lvlText w:val="•"/>
      <w:lvlJc w:val="left"/>
      <w:pPr>
        <w:ind w:left="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B36E080">
      <w:start w:val="1"/>
      <w:numFmt w:val="bullet"/>
      <w:lvlText w:val="o"/>
      <w:lvlJc w:val="left"/>
      <w:pPr>
        <w:ind w:left="11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3947E98">
      <w:start w:val="1"/>
      <w:numFmt w:val="bullet"/>
      <w:lvlText w:val="▪"/>
      <w:lvlJc w:val="left"/>
      <w:pPr>
        <w:ind w:left="19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8B2A486">
      <w:start w:val="1"/>
      <w:numFmt w:val="bullet"/>
      <w:lvlText w:val="•"/>
      <w:lvlJc w:val="left"/>
      <w:pPr>
        <w:ind w:left="26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8DEC700">
      <w:start w:val="1"/>
      <w:numFmt w:val="bullet"/>
      <w:lvlText w:val="o"/>
      <w:lvlJc w:val="left"/>
      <w:pPr>
        <w:ind w:left="33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E364AC6">
      <w:start w:val="1"/>
      <w:numFmt w:val="bullet"/>
      <w:lvlText w:val="▪"/>
      <w:lvlJc w:val="left"/>
      <w:pPr>
        <w:ind w:left="40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3628F0E">
      <w:start w:val="1"/>
      <w:numFmt w:val="bullet"/>
      <w:lvlText w:val="•"/>
      <w:lvlJc w:val="left"/>
      <w:pPr>
        <w:ind w:left="47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9DAACDC">
      <w:start w:val="1"/>
      <w:numFmt w:val="bullet"/>
      <w:lvlText w:val="o"/>
      <w:lvlJc w:val="left"/>
      <w:pPr>
        <w:ind w:left="55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C7AE8B2">
      <w:start w:val="1"/>
      <w:numFmt w:val="bullet"/>
      <w:lvlText w:val="▪"/>
      <w:lvlJc w:val="left"/>
      <w:pPr>
        <w:ind w:left="62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942790D"/>
    <w:multiLevelType w:val="hybridMultilevel"/>
    <w:tmpl w:val="88021A7C"/>
    <w:lvl w:ilvl="0" w:tplc="8B6413BA">
      <w:start w:val="1"/>
      <w:numFmt w:val="bullet"/>
      <w:lvlText w:val="•"/>
      <w:lvlJc w:val="left"/>
      <w:pPr>
        <w:ind w:left="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AC0C9CE">
      <w:start w:val="1"/>
      <w:numFmt w:val="bullet"/>
      <w:lvlText w:val="o"/>
      <w:lvlJc w:val="left"/>
      <w:pPr>
        <w:ind w:left="11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09CE762">
      <w:start w:val="1"/>
      <w:numFmt w:val="bullet"/>
      <w:lvlText w:val="▪"/>
      <w:lvlJc w:val="left"/>
      <w:pPr>
        <w:ind w:left="19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898BD32">
      <w:start w:val="1"/>
      <w:numFmt w:val="bullet"/>
      <w:lvlText w:val="•"/>
      <w:lvlJc w:val="left"/>
      <w:pPr>
        <w:ind w:left="26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FCEA79E">
      <w:start w:val="1"/>
      <w:numFmt w:val="bullet"/>
      <w:lvlText w:val="o"/>
      <w:lvlJc w:val="left"/>
      <w:pPr>
        <w:ind w:left="33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60E0D5E">
      <w:start w:val="1"/>
      <w:numFmt w:val="bullet"/>
      <w:lvlText w:val="▪"/>
      <w:lvlJc w:val="left"/>
      <w:pPr>
        <w:ind w:left="40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5AEBDB6">
      <w:start w:val="1"/>
      <w:numFmt w:val="bullet"/>
      <w:lvlText w:val="•"/>
      <w:lvlJc w:val="left"/>
      <w:pPr>
        <w:ind w:left="47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2D27210">
      <w:start w:val="1"/>
      <w:numFmt w:val="bullet"/>
      <w:lvlText w:val="o"/>
      <w:lvlJc w:val="left"/>
      <w:pPr>
        <w:ind w:left="55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53EBFE8">
      <w:start w:val="1"/>
      <w:numFmt w:val="bullet"/>
      <w:lvlText w:val="▪"/>
      <w:lvlJc w:val="left"/>
      <w:pPr>
        <w:ind w:left="62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DDA51CD"/>
    <w:multiLevelType w:val="hybridMultilevel"/>
    <w:tmpl w:val="FAC62A6A"/>
    <w:lvl w:ilvl="0" w:tplc="74D2338C">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B7843FA">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B1E65C0">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1829CD6">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F222D18">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B02A078">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64677B2">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D78E158">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92ABA9E">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57B7440"/>
    <w:multiLevelType w:val="hybridMultilevel"/>
    <w:tmpl w:val="23B670FC"/>
    <w:lvl w:ilvl="0" w:tplc="FC04D1C4">
      <w:start w:val="1"/>
      <w:numFmt w:val="bullet"/>
      <w:lvlText w:val="•"/>
      <w:lvlJc w:val="left"/>
      <w:pPr>
        <w:ind w:left="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81C70C0">
      <w:start w:val="1"/>
      <w:numFmt w:val="bullet"/>
      <w:lvlText w:val="o"/>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920271C">
      <w:start w:val="1"/>
      <w:numFmt w:val="bullet"/>
      <w:lvlText w:val="▪"/>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6489326">
      <w:start w:val="1"/>
      <w:numFmt w:val="bullet"/>
      <w:lvlText w:val="•"/>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90CE3A8">
      <w:start w:val="1"/>
      <w:numFmt w:val="bullet"/>
      <w:lvlText w:val="o"/>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670C560">
      <w:start w:val="1"/>
      <w:numFmt w:val="bullet"/>
      <w:lvlText w:val="▪"/>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888A550">
      <w:start w:val="1"/>
      <w:numFmt w:val="bullet"/>
      <w:lvlText w:val="•"/>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722201C">
      <w:start w:val="1"/>
      <w:numFmt w:val="bullet"/>
      <w:lvlText w:val="o"/>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DB81E9A">
      <w:start w:val="1"/>
      <w:numFmt w:val="bullet"/>
      <w:lvlText w:val="▪"/>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8C7683D"/>
    <w:multiLevelType w:val="hybridMultilevel"/>
    <w:tmpl w:val="5B3C8B4A"/>
    <w:lvl w:ilvl="0" w:tplc="3EEEB95E">
      <w:start w:val="1"/>
      <w:numFmt w:val="bullet"/>
      <w:lvlText w:val="•"/>
      <w:lvlJc w:val="left"/>
      <w:pPr>
        <w:ind w:left="1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F064AE2">
      <w:start w:val="1"/>
      <w:numFmt w:val="bullet"/>
      <w:lvlText w:val="o"/>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39EE134">
      <w:start w:val="1"/>
      <w:numFmt w:val="bullet"/>
      <w:lvlText w:val="▪"/>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29C0168">
      <w:start w:val="1"/>
      <w:numFmt w:val="bullet"/>
      <w:lvlText w:val="•"/>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7341B86">
      <w:start w:val="1"/>
      <w:numFmt w:val="bullet"/>
      <w:lvlText w:val="o"/>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8A6628C">
      <w:start w:val="1"/>
      <w:numFmt w:val="bullet"/>
      <w:lvlText w:val="▪"/>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70464DE">
      <w:start w:val="1"/>
      <w:numFmt w:val="bullet"/>
      <w:lvlText w:val="•"/>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F484F1C">
      <w:start w:val="1"/>
      <w:numFmt w:val="bullet"/>
      <w:lvlText w:val="o"/>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27CE052">
      <w:start w:val="1"/>
      <w:numFmt w:val="bullet"/>
      <w:lvlText w:val="▪"/>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3ED6380"/>
    <w:multiLevelType w:val="hybridMultilevel"/>
    <w:tmpl w:val="EB140F1C"/>
    <w:lvl w:ilvl="0" w:tplc="1C80A656">
      <w:start w:val="1"/>
      <w:numFmt w:val="bullet"/>
      <w:lvlText w:val="•"/>
      <w:lvlJc w:val="left"/>
      <w:pPr>
        <w:ind w:left="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D6643E8">
      <w:start w:val="1"/>
      <w:numFmt w:val="bullet"/>
      <w:lvlText w:val="o"/>
      <w:lvlJc w:val="left"/>
      <w:pPr>
        <w:ind w:left="11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FD08040">
      <w:start w:val="1"/>
      <w:numFmt w:val="bullet"/>
      <w:lvlText w:val="▪"/>
      <w:lvlJc w:val="left"/>
      <w:pPr>
        <w:ind w:left="19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9B287A4">
      <w:start w:val="1"/>
      <w:numFmt w:val="bullet"/>
      <w:lvlText w:val="•"/>
      <w:lvlJc w:val="left"/>
      <w:pPr>
        <w:ind w:left="26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76AABF4">
      <w:start w:val="1"/>
      <w:numFmt w:val="bullet"/>
      <w:lvlText w:val="o"/>
      <w:lvlJc w:val="left"/>
      <w:pPr>
        <w:ind w:left="33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A5AEA10">
      <w:start w:val="1"/>
      <w:numFmt w:val="bullet"/>
      <w:lvlText w:val="▪"/>
      <w:lvlJc w:val="left"/>
      <w:pPr>
        <w:ind w:left="40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6E6BF16">
      <w:start w:val="1"/>
      <w:numFmt w:val="bullet"/>
      <w:lvlText w:val="•"/>
      <w:lvlJc w:val="left"/>
      <w:pPr>
        <w:ind w:left="47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1745B88">
      <w:start w:val="1"/>
      <w:numFmt w:val="bullet"/>
      <w:lvlText w:val="o"/>
      <w:lvlJc w:val="left"/>
      <w:pPr>
        <w:ind w:left="55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5C46E1A">
      <w:start w:val="1"/>
      <w:numFmt w:val="bullet"/>
      <w:lvlText w:val="▪"/>
      <w:lvlJc w:val="left"/>
      <w:pPr>
        <w:ind w:left="62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8852DD6"/>
    <w:multiLevelType w:val="hybridMultilevel"/>
    <w:tmpl w:val="59E4157C"/>
    <w:lvl w:ilvl="0" w:tplc="BDA27322">
      <w:start w:val="1"/>
      <w:numFmt w:val="lowerLetter"/>
      <w:lvlText w:val="%1)"/>
      <w:lvlJc w:val="left"/>
      <w:pPr>
        <w:ind w:left="5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EA46066">
      <w:start w:val="1"/>
      <w:numFmt w:val="lowerRoman"/>
      <w:lvlText w:val="%2."/>
      <w:lvlJc w:val="left"/>
      <w:pPr>
        <w:ind w:left="14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ED032C8">
      <w:start w:val="1"/>
      <w:numFmt w:val="lowerRoman"/>
      <w:lvlText w:val="%3"/>
      <w:lvlJc w:val="left"/>
      <w:pPr>
        <w:ind w:left="19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8FCFC6C">
      <w:start w:val="1"/>
      <w:numFmt w:val="decimal"/>
      <w:lvlText w:val="%4"/>
      <w:lvlJc w:val="left"/>
      <w:pPr>
        <w:ind w:left="2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FCA19B2">
      <w:start w:val="1"/>
      <w:numFmt w:val="lowerLetter"/>
      <w:lvlText w:val="%5"/>
      <w:lvlJc w:val="left"/>
      <w:pPr>
        <w:ind w:left="34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17ECBB0">
      <w:start w:val="1"/>
      <w:numFmt w:val="lowerRoman"/>
      <w:lvlText w:val="%6"/>
      <w:lvlJc w:val="left"/>
      <w:pPr>
        <w:ind w:left="41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246EB0C">
      <w:start w:val="1"/>
      <w:numFmt w:val="decimal"/>
      <w:lvlText w:val="%7"/>
      <w:lvlJc w:val="left"/>
      <w:pPr>
        <w:ind w:left="48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D16958C">
      <w:start w:val="1"/>
      <w:numFmt w:val="lowerLetter"/>
      <w:lvlText w:val="%8"/>
      <w:lvlJc w:val="left"/>
      <w:pPr>
        <w:ind w:left="55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B1A70FE">
      <w:start w:val="1"/>
      <w:numFmt w:val="lowerRoman"/>
      <w:lvlText w:val="%9"/>
      <w:lvlJc w:val="left"/>
      <w:pPr>
        <w:ind w:left="63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E1471F6"/>
    <w:multiLevelType w:val="hybridMultilevel"/>
    <w:tmpl w:val="840C49D2"/>
    <w:lvl w:ilvl="0" w:tplc="7A022D60">
      <w:start w:val="1"/>
      <w:numFmt w:val="bullet"/>
      <w:lvlText w:val="-"/>
      <w:lvlJc w:val="left"/>
      <w:pPr>
        <w:ind w:left="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65C2C96">
      <w:start w:val="1"/>
      <w:numFmt w:val="bullet"/>
      <w:lvlText w:val="o"/>
      <w:lvlJc w:val="left"/>
      <w:pPr>
        <w:ind w:left="11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090C66A">
      <w:start w:val="1"/>
      <w:numFmt w:val="bullet"/>
      <w:lvlText w:val="▪"/>
      <w:lvlJc w:val="left"/>
      <w:pPr>
        <w:ind w:left="19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C520220">
      <w:start w:val="1"/>
      <w:numFmt w:val="bullet"/>
      <w:lvlText w:val="•"/>
      <w:lvlJc w:val="left"/>
      <w:pPr>
        <w:ind w:left="26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F7E4ACC">
      <w:start w:val="1"/>
      <w:numFmt w:val="bullet"/>
      <w:lvlText w:val="o"/>
      <w:lvlJc w:val="left"/>
      <w:pPr>
        <w:ind w:left="33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14AB7B4">
      <w:start w:val="1"/>
      <w:numFmt w:val="bullet"/>
      <w:lvlText w:val="▪"/>
      <w:lvlJc w:val="left"/>
      <w:pPr>
        <w:ind w:left="40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C7E3FB0">
      <w:start w:val="1"/>
      <w:numFmt w:val="bullet"/>
      <w:lvlText w:val="•"/>
      <w:lvlJc w:val="left"/>
      <w:pPr>
        <w:ind w:left="47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E0CF112">
      <w:start w:val="1"/>
      <w:numFmt w:val="bullet"/>
      <w:lvlText w:val="o"/>
      <w:lvlJc w:val="left"/>
      <w:pPr>
        <w:ind w:left="55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59AB42C">
      <w:start w:val="1"/>
      <w:numFmt w:val="bullet"/>
      <w:lvlText w:val="▪"/>
      <w:lvlJc w:val="left"/>
      <w:pPr>
        <w:ind w:left="62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86F2C8B"/>
    <w:multiLevelType w:val="hybridMultilevel"/>
    <w:tmpl w:val="20C68D90"/>
    <w:lvl w:ilvl="0" w:tplc="45E4C258">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E22DB76">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18A0DC8">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E66AA94">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452BB76">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AF88B44">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AD6872A">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188A6D2">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60EE320">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8804897"/>
    <w:multiLevelType w:val="hybridMultilevel"/>
    <w:tmpl w:val="F7B8F7DE"/>
    <w:lvl w:ilvl="0" w:tplc="885A88FE">
      <w:start w:val="1"/>
      <w:numFmt w:val="lowerRoman"/>
      <w:lvlText w:val="%1."/>
      <w:lvlJc w:val="left"/>
      <w:pPr>
        <w:ind w:left="14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2FA2802">
      <w:start w:val="1"/>
      <w:numFmt w:val="lowerLetter"/>
      <w:lvlText w:val="%2"/>
      <w:lvlJc w:val="left"/>
      <w:pPr>
        <w:ind w:left="20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1F80C06">
      <w:start w:val="1"/>
      <w:numFmt w:val="lowerRoman"/>
      <w:lvlText w:val="%3"/>
      <w:lvlJc w:val="left"/>
      <w:pPr>
        <w:ind w:left="27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1689DE8">
      <w:start w:val="1"/>
      <w:numFmt w:val="decimal"/>
      <w:lvlText w:val="%4"/>
      <w:lvlJc w:val="left"/>
      <w:pPr>
        <w:ind w:left="34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4C437FE">
      <w:start w:val="1"/>
      <w:numFmt w:val="lowerLetter"/>
      <w:lvlText w:val="%5"/>
      <w:lvlJc w:val="left"/>
      <w:pPr>
        <w:ind w:left="41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C806DBA">
      <w:start w:val="1"/>
      <w:numFmt w:val="lowerRoman"/>
      <w:lvlText w:val="%6"/>
      <w:lvlJc w:val="left"/>
      <w:pPr>
        <w:ind w:left="49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5C2D2E0">
      <w:start w:val="1"/>
      <w:numFmt w:val="decimal"/>
      <w:lvlText w:val="%7"/>
      <w:lvlJc w:val="left"/>
      <w:pPr>
        <w:ind w:left="56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9CEC774">
      <w:start w:val="1"/>
      <w:numFmt w:val="lowerLetter"/>
      <w:lvlText w:val="%8"/>
      <w:lvlJc w:val="left"/>
      <w:pPr>
        <w:ind w:left="63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2B6BD46">
      <w:start w:val="1"/>
      <w:numFmt w:val="lowerRoman"/>
      <w:lvlText w:val="%9"/>
      <w:lvlJc w:val="left"/>
      <w:pPr>
        <w:ind w:left="70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9"/>
  </w:num>
  <w:num w:numId="3">
    <w:abstractNumId w:val="0"/>
  </w:num>
  <w:num w:numId="4">
    <w:abstractNumId w:val="10"/>
  </w:num>
  <w:num w:numId="5">
    <w:abstractNumId w:val="7"/>
  </w:num>
  <w:num w:numId="6">
    <w:abstractNumId w:val="1"/>
  </w:num>
  <w:num w:numId="7">
    <w:abstractNumId w:val="6"/>
  </w:num>
  <w:num w:numId="8">
    <w:abstractNumId w:val="5"/>
  </w:num>
  <w:num w:numId="9">
    <w:abstractNumId w:val="4"/>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D3A"/>
    <w:rsid w:val="000B71C4"/>
    <w:rsid w:val="000D17A9"/>
    <w:rsid w:val="000F5857"/>
    <w:rsid w:val="001A5F0C"/>
    <w:rsid w:val="00395364"/>
    <w:rsid w:val="004F5A8C"/>
    <w:rsid w:val="005D50F0"/>
    <w:rsid w:val="00834F79"/>
    <w:rsid w:val="00840339"/>
    <w:rsid w:val="00A7134A"/>
    <w:rsid w:val="00B95F8F"/>
    <w:rsid w:val="00BC6B4E"/>
    <w:rsid w:val="00DA50BD"/>
    <w:rsid w:val="00E12496"/>
    <w:rsid w:val="00F50D3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D965F"/>
  <w15:docId w15:val="{154B0A06-CACF-4BD3-8292-1DCD70355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45"/>
      <w:ind w:left="10" w:hanging="10"/>
      <w:outlineLvl w:val="0"/>
    </w:pPr>
    <w:rPr>
      <w:rFonts w:ascii="Calibri" w:eastAsia="Calibri" w:hAnsi="Calibri" w:cs="Calibri"/>
      <w:b/>
      <w:color w:val="A62F99"/>
      <w:sz w:val="28"/>
    </w:rPr>
  </w:style>
  <w:style w:type="paragraph" w:styleId="Heading2">
    <w:name w:val="heading 2"/>
    <w:next w:val="Normal"/>
    <w:link w:val="Heading2Char"/>
    <w:uiPriority w:val="9"/>
    <w:unhideWhenUsed/>
    <w:qFormat/>
    <w:pPr>
      <w:keepNext/>
      <w:keepLines/>
      <w:spacing w:after="56" w:line="251" w:lineRule="auto"/>
      <w:ind w:left="10" w:hanging="10"/>
      <w:outlineLvl w:val="1"/>
    </w:pPr>
    <w:rPr>
      <w:rFonts w:ascii="Calibri" w:eastAsia="Calibri" w:hAnsi="Calibri" w:cs="Calibri"/>
      <w:b/>
      <w:color w:val="004587"/>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4587"/>
      <w:sz w:val="28"/>
    </w:rPr>
  </w:style>
  <w:style w:type="character" w:customStyle="1" w:styleId="Heading1Char">
    <w:name w:val="Heading 1 Char"/>
    <w:link w:val="Heading1"/>
    <w:rPr>
      <w:rFonts w:ascii="Calibri" w:eastAsia="Calibri" w:hAnsi="Calibri" w:cs="Calibri"/>
      <w:b/>
      <w:color w:val="A62F99"/>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18</Pages>
  <Words>4205</Words>
  <Characters>23973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Cuffe</dc:creator>
  <cp:keywords/>
  <cp:lastModifiedBy>Siobhan Heyworth</cp:lastModifiedBy>
  <cp:revision>10</cp:revision>
  <dcterms:created xsi:type="dcterms:W3CDTF">2021-03-22T12:14:00Z</dcterms:created>
  <dcterms:modified xsi:type="dcterms:W3CDTF">2021-03-22T13:24:00Z</dcterms:modified>
</cp:coreProperties>
</file>